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before="31" w:after="31"/>
        <w:jc w:val="center"/>
        <w:rPr>
          <w:rFonts w:ascii="楷体" w:hAnsi="楷体" w:eastAsia="楷体" w:cs="楷体"/>
          <w:b/>
          <w:bCs/>
          <w:sz w:val="32"/>
          <w:szCs w:val="32"/>
        </w:rPr>
      </w:pPr>
      <w:r>
        <w:rPr>
          <w:rFonts w:hint="eastAsia" w:ascii="楷体" w:hAnsi="楷体" w:eastAsia="楷体" w:cs="楷体"/>
          <w:b/>
          <w:bCs/>
          <w:sz w:val="32"/>
          <w:szCs w:val="32"/>
        </w:rPr>
        <w:t>重钢总医院</w:t>
      </w:r>
      <w:r>
        <w:rPr>
          <w:rFonts w:hint="eastAsia" w:ascii="楷体" w:hAnsi="楷体" w:eastAsia="楷体"/>
          <w:b/>
          <w:sz w:val="32"/>
          <w:szCs w:val="32"/>
        </w:rPr>
        <w:t>药学服务信息化系统</w:t>
      </w:r>
      <w:r>
        <w:rPr>
          <w:rFonts w:hint="eastAsia" w:ascii="楷体" w:hAnsi="楷体" w:eastAsia="楷体" w:cs="楷体"/>
          <w:b/>
          <w:bCs/>
          <w:sz w:val="32"/>
          <w:szCs w:val="32"/>
        </w:rPr>
        <w:t>项目</w:t>
      </w:r>
    </w:p>
    <w:p>
      <w:pPr>
        <w:pStyle w:val="13"/>
        <w:spacing w:before="31" w:after="31"/>
        <w:jc w:val="center"/>
        <w:rPr>
          <w:rFonts w:ascii="楷体" w:hAnsi="楷体" w:eastAsia="楷体" w:cs="楷体"/>
          <w:b/>
          <w:bCs/>
          <w:sz w:val="32"/>
          <w:szCs w:val="32"/>
        </w:rPr>
      </w:pPr>
      <w:r>
        <w:rPr>
          <w:rFonts w:hint="eastAsia" w:ascii="楷体" w:hAnsi="楷体" w:eastAsia="楷体" w:cs="楷体"/>
          <w:b/>
          <w:bCs/>
          <w:sz w:val="32"/>
          <w:szCs w:val="32"/>
        </w:rPr>
        <w:t>市场征询函</w:t>
      </w:r>
    </w:p>
    <w:p>
      <w:pPr>
        <w:pStyle w:val="13"/>
        <w:spacing w:beforeLines="0" w:afterLines="0" w:line="360" w:lineRule="auto"/>
        <w:ind w:firstLine="560" w:firstLineChars="200"/>
        <w:rPr>
          <w:rFonts w:ascii="楷体" w:hAnsi="楷体" w:eastAsia="楷体" w:cs="楷体"/>
          <w:b/>
          <w:bCs/>
          <w:sz w:val="28"/>
          <w:szCs w:val="28"/>
        </w:rPr>
      </w:pPr>
      <w:r>
        <w:rPr>
          <w:rFonts w:hint="eastAsia" w:ascii="楷体" w:hAnsi="楷体" w:eastAsia="楷体" w:cs="楷体"/>
          <w:color w:val="000000"/>
          <w:sz w:val="28"/>
          <w:szCs w:val="28"/>
        </w:rPr>
        <w:t>重钢总医院本着“公平、公开、公正”的原则，特向服务商单位发出重钢总医院信息化建设造价评估项目的市场征询函，望积极参与响应。</w:t>
      </w:r>
    </w:p>
    <w:p>
      <w:pPr>
        <w:pStyle w:val="14"/>
        <w:numPr>
          <w:ilvl w:val="0"/>
          <w:numId w:val="1"/>
        </w:numPr>
        <w:ind w:firstLineChars="0"/>
        <w:outlineLvl w:val="0"/>
        <w:rPr>
          <w:rFonts w:ascii="楷体" w:hAnsi="楷体" w:eastAsia="楷体" w:cs="楷体"/>
          <w:sz w:val="28"/>
          <w:szCs w:val="28"/>
        </w:rPr>
      </w:pPr>
      <w:r>
        <w:rPr>
          <w:rFonts w:hint="eastAsia" w:ascii="楷体" w:hAnsi="楷体" w:eastAsia="楷体" w:cs="楷体"/>
          <w:sz w:val="28"/>
          <w:szCs w:val="28"/>
        </w:rPr>
        <w:t>项目信息</w:t>
      </w:r>
    </w:p>
    <w:p>
      <w:pPr>
        <w:pStyle w:val="14"/>
        <w:numPr>
          <w:ilvl w:val="0"/>
          <w:numId w:val="2"/>
        </w:numPr>
        <w:spacing w:line="360" w:lineRule="auto"/>
        <w:ind w:firstLineChars="0"/>
        <w:rPr>
          <w:rFonts w:ascii="楷体" w:hAnsi="楷体" w:eastAsia="楷体" w:cs="楷体"/>
          <w:sz w:val="28"/>
          <w:szCs w:val="28"/>
        </w:rPr>
      </w:pPr>
      <w:r>
        <w:rPr>
          <w:rFonts w:hint="eastAsia" w:ascii="楷体" w:hAnsi="楷体" w:eastAsia="楷体" w:cs="楷体"/>
          <w:sz w:val="28"/>
          <w:szCs w:val="28"/>
        </w:rPr>
        <w:t>项目名称：重钢总医院药学信息化建设系统软件项目</w:t>
      </w:r>
    </w:p>
    <w:p>
      <w:pPr>
        <w:pStyle w:val="14"/>
        <w:numPr>
          <w:ilvl w:val="0"/>
          <w:numId w:val="2"/>
        </w:numPr>
        <w:spacing w:line="360" w:lineRule="auto"/>
        <w:ind w:firstLineChars="0"/>
        <w:rPr>
          <w:rFonts w:ascii="楷体" w:hAnsi="楷体" w:eastAsia="楷体" w:cs="楷体"/>
          <w:sz w:val="28"/>
          <w:szCs w:val="28"/>
        </w:rPr>
      </w:pPr>
      <w:r>
        <w:rPr>
          <w:rFonts w:hint="eastAsia" w:ascii="楷体" w:hAnsi="楷体" w:eastAsia="楷体" w:cs="楷体"/>
          <w:sz w:val="28"/>
          <w:szCs w:val="28"/>
        </w:rPr>
        <w:t>项目类型：软件采购</w:t>
      </w:r>
    </w:p>
    <w:p>
      <w:pPr>
        <w:pStyle w:val="14"/>
        <w:numPr>
          <w:ilvl w:val="0"/>
          <w:numId w:val="1"/>
        </w:numPr>
        <w:ind w:firstLineChars="0"/>
        <w:outlineLvl w:val="0"/>
        <w:rPr>
          <w:rFonts w:ascii="楷体" w:hAnsi="楷体" w:eastAsia="楷体" w:cs="楷体"/>
          <w:sz w:val="28"/>
          <w:szCs w:val="28"/>
        </w:rPr>
      </w:pPr>
      <w:r>
        <w:rPr>
          <w:rFonts w:hint="eastAsia" w:ascii="楷体" w:hAnsi="楷体" w:eastAsia="楷体" w:cs="楷体"/>
          <w:sz w:val="28"/>
          <w:szCs w:val="28"/>
        </w:rPr>
        <w:t>项目背景</w:t>
      </w:r>
    </w:p>
    <w:p>
      <w:pPr>
        <w:pStyle w:val="13"/>
        <w:spacing w:beforeLines="0" w:afterLines="0" w:line="360" w:lineRule="auto"/>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重钢总医院为配合国家医疗卫生体制改革、医疗卫生事业逐步走向标准化、规范化和市场化，适应新时代的形势发展，在临床和医技方面应用、信息数据安全、信息化基础建设方面，基本实现了医院临床、医技、行政管理业务运行的信息化。</w:t>
      </w:r>
    </w:p>
    <w:p>
      <w:pPr>
        <w:pStyle w:val="13"/>
        <w:spacing w:before="31" w:after="31" w:line="360" w:lineRule="auto"/>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随着临床药学服务工作的探索推进，对于普通临床药师的要求越来越高，需要其参与临床实践，掌握各种药学信息，并善于同各服务对象进行沟通，这对于药师的知识水平、能力水平都提出更进一步的要求。而医院配备的临床药师数量不足，大量的文书、手工操作导致药学服务效率不高，这些都制约了药学服务活动的普及和开展。</w:t>
      </w:r>
    </w:p>
    <w:p>
      <w:pPr>
        <w:pStyle w:val="13"/>
        <w:spacing w:before="31" w:after="31" w:line="360" w:lineRule="auto"/>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缺乏专门的信息系统支持，药师在开展药学服务工作过程中，面临以下问题：(1)难以及时获取患者的医嘱、病历等信息，并在第一时间参与药物治疗；(2)更多的是依靠手工进行工作记录，繁琐且低效。</w:t>
      </w:r>
    </w:p>
    <w:p>
      <w:pPr>
        <w:pStyle w:val="13"/>
        <w:spacing w:before="31" w:after="31" w:line="360" w:lineRule="auto"/>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为了更好的开展药学服务工作，让有限的药师资源发挥更大的作用。运用现代信息技术辅助药师开展工作已成为医院药学发展的趋势。通过建立医院网上药学服务交流平台，使得患者通过公众号即可了解用药知识，可以为更多有需求人群提供个体化用药指导，更好的推动我国药学服务事业的发展，让更多人能够享受到专业的用药知识，比如药物使用频次、用药剂量、可能存在的不良反应、药物禁忌症等。</w:t>
      </w:r>
    </w:p>
    <w:p>
      <w:pPr>
        <w:pStyle w:val="13"/>
        <w:spacing w:beforeLines="0" w:afterLines="0" w:line="360" w:lineRule="auto"/>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目前，全国大部分医院已经建立了医院信息管理系统，且已经成为医院管理业务运行中必不可少的基础性设施，其对于临床工作者的工作效率和质量提升有目共睹，但医院针对临床药学工作的信息系统建设尚未成熟，医院药学工作者迫切希望能有一套完善的药学信息系统，构建以临床药学和药学管理为基础，以药学信息为核心的信息化管理系统，使得“互联网+药学服务”成为现实，真正实现医院药学从“药”到“人”的服务模式转型。</w:t>
      </w:r>
    </w:p>
    <w:p>
      <w:pPr>
        <w:pStyle w:val="14"/>
        <w:numPr>
          <w:ilvl w:val="0"/>
          <w:numId w:val="1"/>
        </w:numPr>
        <w:ind w:firstLineChars="0"/>
        <w:outlineLvl w:val="0"/>
        <w:rPr>
          <w:rFonts w:ascii="楷体" w:hAnsi="楷体" w:eastAsia="楷体" w:cs="楷体"/>
          <w:sz w:val="28"/>
          <w:szCs w:val="28"/>
        </w:rPr>
      </w:pPr>
      <w:r>
        <w:rPr>
          <w:rFonts w:hint="eastAsia" w:ascii="楷体" w:hAnsi="楷体" w:eastAsia="楷体" w:cs="楷体"/>
          <w:sz w:val="28"/>
          <w:szCs w:val="28"/>
        </w:rPr>
        <w:t>项目目标</w:t>
      </w:r>
    </w:p>
    <w:p>
      <w:pPr>
        <w:spacing w:line="360" w:lineRule="auto"/>
        <w:ind w:firstLine="560" w:firstLineChars="200"/>
        <w:rPr>
          <w:rFonts w:ascii="楷体" w:hAnsi="楷体" w:eastAsia="楷体" w:cs="楷体"/>
          <w:color w:val="000000"/>
          <w:sz w:val="28"/>
          <w:szCs w:val="28"/>
        </w:rPr>
      </w:pPr>
      <w:bookmarkStart w:id="0" w:name="_Toc19525208"/>
      <w:bookmarkStart w:id="1" w:name="_Toc16575871"/>
      <w:r>
        <w:rPr>
          <w:rFonts w:hint="eastAsia" w:ascii="楷体" w:hAnsi="楷体" w:eastAsia="楷体" w:cs="楷体"/>
          <w:color w:val="000000"/>
          <w:sz w:val="28"/>
          <w:szCs w:val="28"/>
        </w:rPr>
        <w:t>1．临床专科分工细化，临床医疗人员受精力和专业知识等条件所限，对患者所用药品的情况很难及时、全面地了解。药学信息系统可</w:t>
      </w:r>
      <w:r>
        <w:rPr>
          <w:rFonts w:ascii="楷体" w:hAnsi="楷体" w:eastAsia="楷体" w:cs="楷体"/>
          <w:color w:val="000000"/>
          <w:sz w:val="28"/>
          <w:szCs w:val="28"/>
        </w:rPr>
        <w:t>为</w:t>
      </w:r>
      <w:r>
        <w:rPr>
          <w:rFonts w:hint="eastAsia" w:ascii="楷体" w:hAnsi="楷体" w:eastAsia="楷体" w:cs="楷体"/>
          <w:color w:val="000000"/>
          <w:sz w:val="28"/>
          <w:szCs w:val="28"/>
        </w:rPr>
        <w:t>医护人员</w:t>
      </w:r>
      <w:r>
        <w:rPr>
          <w:rFonts w:ascii="楷体" w:hAnsi="楷体" w:eastAsia="楷体" w:cs="楷体"/>
          <w:color w:val="000000"/>
          <w:sz w:val="28"/>
          <w:szCs w:val="28"/>
        </w:rPr>
        <w:t>提供权威的临床</w:t>
      </w:r>
      <w:r>
        <w:rPr>
          <w:rFonts w:hint="eastAsia" w:ascii="楷体" w:hAnsi="楷体" w:eastAsia="楷体" w:cs="楷体"/>
          <w:color w:val="000000"/>
          <w:sz w:val="28"/>
          <w:szCs w:val="28"/>
        </w:rPr>
        <w:t>药物</w:t>
      </w:r>
      <w:r>
        <w:rPr>
          <w:rFonts w:ascii="楷体" w:hAnsi="楷体" w:eastAsia="楷体" w:cs="楷体"/>
          <w:color w:val="000000"/>
          <w:sz w:val="28"/>
          <w:szCs w:val="28"/>
        </w:rPr>
        <w:t>信息</w:t>
      </w:r>
      <w:r>
        <w:rPr>
          <w:rFonts w:hint="eastAsia" w:ascii="楷体" w:hAnsi="楷体" w:eastAsia="楷体" w:cs="楷体"/>
          <w:color w:val="000000"/>
          <w:sz w:val="28"/>
          <w:szCs w:val="28"/>
        </w:rPr>
        <w:t>查询途径，帮助临床专业人员及时了解和掌握最新的医药专业知识和资讯，为医生提供权威的临床用药决策信息支持</w:t>
      </w:r>
      <w:r>
        <w:rPr>
          <w:rFonts w:ascii="楷体" w:hAnsi="楷体" w:eastAsia="楷体" w:cs="楷体"/>
          <w:color w:val="000000"/>
          <w:sz w:val="28"/>
          <w:szCs w:val="28"/>
        </w:rPr>
        <w:t>。</w:t>
      </w:r>
    </w:p>
    <w:p>
      <w:pPr>
        <w:spacing w:line="360" w:lineRule="auto"/>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2.通过事前实时审核，</w:t>
      </w:r>
      <w:r>
        <w:rPr>
          <w:rFonts w:ascii="楷体" w:hAnsi="楷体" w:eastAsia="楷体" w:cs="楷体"/>
          <w:color w:val="000000"/>
          <w:sz w:val="28"/>
          <w:szCs w:val="28"/>
        </w:rPr>
        <w:t>帮助医生及时发现潜在的不合理用药问题，极大地弥补记忆的不足和人工失误所导致的用药错误，预防</w:t>
      </w:r>
      <w:r>
        <w:rPr>
          <w:rFonts w:hint="eastAsia" w:ascii="楷体" w:hAnsi="楷体" w:eastAsia="楷体" w:cs="楷体"/>
          <w:color w:val="000000"/>
          <w:sz w:val="28"/>
          <w:szCs w:val="28"/>
        </w:rPr>
        <w:t>药源性</w:t>
      </w:r>
      <w:r>
        <w:rPr>
          <w:rFonts w:ascii="楷体" w:hAnsi="楷体" w:eastAsia="楷体" w:cs="楷体"/>
          <w:color w:val="000000"/>
          <w:sz w:val="28"/>
          <w:szCs w:val="28"/>
        </w:rPr>
        <w:t>不良</w:t>
      </w:r>
      <w:r>
        <w:rPr>
          <w:rFonts w:hint="eastAsia" w:ascii="楷体" w:hAnsi="楷体" w:eastAsia="楷体" w:cs="楷体"/>
          <w:color w:val="000000"/>
          <w:sz w:val="28"/>
          <w:szCs w:val="28"/>
        </w:rPr>
        <w:t>反应</w:t>
      </w:r>
      <w:r>
        <w:rPr>
          <w:rFonts w:ascii="楷体" w:hAnsi="楷体" w:eastAsia="楷体" w:cs="楷体"/>
          <w:color w:val="000000"/>
          <w:sz w:val="28"/>
          <w:szCs w:val="28"/>
        </w:rPr>
        <w:t>事件的发生</w:t>
      </w:r>
      <w:r>
        <w:rPr>
          <w:rFonts w:hint="eastAsia" w:ascii="楷体" w:hAnsi="楷体" w:eastAsia="楷体" w:cs="楷体"/>
          <w:color w:val="000000"/>
          <w:sz w:val="28"/>
          <w:szCs w:val="28"/>
        </w:rPr>
        <w:t>；同时，可将医院药事管理的相关规定转化为事前审核的规则，进一步规范临床用药行为，</w:t>
      </w:r>
      <w:r>
        <w:rPr>
          <w:rFonts w:ascii="楷体" w:hAnsi="楷体" w:eastAsia="楷体" w:cs="楷体"/>
          <w:color w:val="000000"/>
          <w:sz w:val="28"/>
          <w:szCs w:val="28"/>
        </w:rPr>
        <w:t>促进临床合理用药。</w:t>
      </w:r>
    </w:p>
    <w:p>
      <w:pPr>
        <w:spacing w:line="360" w:lineRule="auto"/>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3．帮助药师在医生开完处方（医嘱）后，患者缴费前完成处方（医嘱）实时审查并干预。满足《</w:t>
      </w:r>
      <w:r>
        <w:rPr>
          <w:rFonts w:ascii="楷体" w:hAnsi="楷体" w:eastAsia="楷体" w:cs="楷体"/>
          <w:color w:val="000000"/>
          <w:sz w:val="28"/>
          <w:szCs w:val="28"/>
        </w:rPr>
        <w:t>医疗机构处方审核规范》</w:t>
      </w:r>
      <w:r>
        <w:rPr>
          <w:rFonts w:hint="eastAsia" w:ascii="楷体" w:hAnsi="楷体" w:eastAsia="楷体" w:cs="楷体"/>
          <w:color w:val="000000"/>
          <w:sz w:val="28"/>
          <w:szCs w:val="28"/>
        </w:rPr>
        <w:t>的要求，实现处方审核信息化，践行药师是处方审核工作第一责任人的规定。并且经过医生、药师对处方的多重审查，可进一步保障患者的用药安全。</w:t>
      </w:r>
    </w:p>
    <w:p>
      <w:pPr>
        <w:spacing w:line="360" w:lineRule="auto"/>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4．满足《处方管理办法》、《三级综合医院评审标准实施细则》及《医院处方管理规范》等对医院处方点评工作的要求，推进处方点评信息化建设，让药师告别翻病历手工点评的时代，</w:t>
      </w:r>
      <w:r>
        <w:rPr>
          <w:rFonts w:ascii="楷体" w:hAnsi="楷体" w:eastAsia="楷体" w:cs="楷体"/>
          <w:color w:val="000000"/>
          <w:sz w:val="28"/>
          <w:szCs w:val="28"/>
        </w:rPr>
        <w:t>快速、高效地从事处方点评</w:t>
      </w:r>
      <w:r>
        <w:rPr>
          <w:rFonts w:hint="eastAsia" w:ascii="楷体" w:hAnsi="楷体" w:eastAsia="楷体" w:cs="楷体"/>
          <w:color w:val="000000"/>
          <w:sz w:val="28"/>
          <w:szCs w:val="28"/>
        </w:rPr>
        <w:t>工作，推动门急诊、住院的处方点评长效机制的建立。并及时提供医疗卫生主管部门要求上报的各类合理用药统计数据。</w:t>
      </w:r>
    </w:p>
    <w:p>
      <w:pPr>
        <w:spacing w:line="360" w:lineRule="auto"/>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5.帮助药师主动发现疑似或潜在的药品不良反应，及时采取有效的干预措施，确保临床用药安全。优化医院不良反应上报流程，让更多的医务人员能够主动参与药品不良反应的监测工作。此外，为药学部门开展医院药品不良反应研究提供支持，提高药品临床应用的分析评价水平。</w:t>
      </w:r>
    </w:p>
    <w:p>
      <w:pPr>
        <w:spacing w:line="360" w:lineRule="auto"/>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6.为临床药师提供以患者为中心的智能药学监护平台，协助药师快速获取患者信息，提高药师工作效率，实现重点患者的全程药学监护，并及时给与处理建议，提升治疗效果，保障患者用药安全，减少患者住院时间和费用。实现医院药学从关注治疗过程中一次性服务向关注整个疾病治疗过程持续不断的服务的转变，助力医院践行全程化的药学服务模式。</w:t>
      </w:r>
    </w:p>
    <w:p>
      <w:pPr>
        <w:spacing w:line="360" w:lineRule="auto"/>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7.帮助药师建立标准化的药物治疗管理（MTM）服务模式，直接面向患者，特别是慢病患者、特殊用药人群等全面有效地开展用药评估、治疗药物管理、用药咨询及指导等多项工作，深化专科临床药学服务，为患者解决多重用药安全问题</w:t>
      </w:r>
      <w:r>
        <w:rPr>
          <w:rFonts w:ascii="楷体" w:hAnsi="楷体" w:eastAsia="楷体" w:cs="楷体"/>
          <w:color w:val="000000"/>
          <w:sz w:val="28"/>
          <w:szCs w:val="28"/>
        </w:rPr>
        <w:t>。</w:t>
      </w:r>
    </w:p>
    <w:p>
      <w:pPr>
        <w:spacing w:line="360" w:lineRule="auto"/>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8.建立内外网交互机制，将药学服务延伸到院外，让药师能够在医院内网环境下与患者在线交互，实现对患者的远程用药管理。</w:t>
      </w:r>
      <w:bookmarkStart w:id="2" w:name="_Hlk106701124"/>
    </w:p>
    <w:bookmarkEnd w:id="2"/>
    <w:p>
      <w:pPr>
        <w:spacing w:line="360" w:lineRule="auto"/>
        <w:ind w:firstLine="560" w:firstLineChars="200"/>
        <w:rPr>
          <w:rFonts w:ascii="楷体" w:hAnsi="楷体" w:eastAsia="楷体" w:cs="楷体"/>
          <w:color w:val="000000"/>
          <w:sz w:val="28"/>
          <w:szCs w:val="28"/>
        </w:rPr>
      </w:pPr>
      <w:r>
        <w:rPr>
          <w:rFonts w:ascii="楷体" w:hAnsi="楷体" w:eastAsia="楷体" w:cs="楷体"/>
          <w:color w:val="000000"/>
          <w:sz w:val="28"/>
          <w:szCs w:val="28"/>
        </w:rPr>
        <w:t>9</w:t>
      </w:r>
      <w:r>
        <w:rPr>
          <w:rFonts w:hint="eastAsia" w:ascii="楷体" w:hAnsi="楷体" w:eastAsia="楷体" w:cs="楷体"/>
          <w:color w:val="000000"/>
          <w:sz w:val="28"/>
          <w:szCs w:val="28"/>
        </w:rPr>
        <w:t>.满足《三级综合医院医疗质量管理与控制指标》、《抗菌药物临床应用专项整治活动方案》和《综合医院评审标准》等要求，建立完善的药品管理信息系统，有效监控和评估各临床科室及医师药物的使用情况，及时对不合理用药情况进行管控，避免可能的药源性不良反应事件。</w:t>
      </w:r>
    </w:p>
    <w:p>
      <w:pPr>
        <w:spacing w:line="360" w:lineRule="auto"/>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1</w:t>
      </w:r>
      <w:r>
        <w:rPr>
          <w:rFonts w:ascii="楷体" w:hAnsi="楷体" w:eastAsia="楷体" w:cs="楷体"/>
          <w:color w:val="000000"/>
          <w:sz w:val="28"/>
          <w:szCs w:val="28"/>
        </w:rPr>
        <w:t>0</w:t>
      </w:r>
      <w:r>
        <w:rPr>
          <w:rFonts w:hint="eastAsia" w:ascii="楷体" w:hAnsi="楷体" w:eastAsia="楷体" w:cs="楷体"/>
          <w:color w:val="000000"/>
          <w:sz w:val="28"/>
          <w:szCs w:val="28"/>
        </w:rPr>
        <w:t>．通过提供事前审查、事中监测、事后分析功能，确保集采药品的优先使用，帮助医疗机构高效完成药品集采任务，降低患者医疗费用，节约医保资金，为医疗机构争取利润空间。</w:t>
      </w:r>
    </w:p>
    <w:p>
      <w:pPr>
        <w:spacing w:line="360" w:lineRule="auto"/>
        <w:ind w:firstLine="560" w:firstLineChars="200"/>
        <w:rPr>
          <w:rFonts w:ascii="楷体" w:hAnsi="楷体" w:eastAsia="楷体" w:cs="楷体"/>
          <w:color w:val="000000"/>
          <w:sz w:val="28"/>
          <w:szCs w:val="28"/>
        </w:rPr>
      </w:pPr>
      <w:r>
        <w:rPr>
          <w:rFonts w:ascii="楷体" w:hAnsi="楷体" w:eastAsia="楷体" w:cs="楷体"/>
          <w:color w:val="000000"/>
          <w:sz w:val="28"/>
          <w:szCs w:val="28"/>
        </w:rPr>
        <w:t>11.实现</w:t>
      </w:r>
      <w:r>
        <w:rPr>
          <w:rFonts w:hint="eastAsia" w:ascii="楷体" w:hAnsi="楷体" w:eastAsia="楷体" w:cs="楷体"/>
          <w:color w:val="000000"/>
          <w:sz w:val="28"/>
          <w:szCs w:val="28"/>
        </w:rPr>
        <w:t>临床用药</w:t>
      </w:r>
      <w:r>
        <w:rPr>
          <w:rFonts w:ascii="楷体" w:hAnsi="楷体" w:eastAsia="楷体" w:cs="楷体"/>
          <w:color w:val="000000"/>
          <w:sz w:val="28"/>
          <w:szCs w:val="28"/>
        </w:rPr>
        <w:t>的精细化管理</w:t>
      </w:r>
      <w:r>
        <w:rPr>
          <w:rFonts w:hint="eastAsia" w:ascii="楷体" w:hAnsi="楷体" w:eastAsia="楷体" w:cs="楷体"/>
          <w:color w:val="000000"/>
          <w:sz w:val="28"/>
          <w:szCs w:val="28"/>
        </w:rPr>
        <w:t>和全程化的药学服务</w:t>
      </w:r>
      <w:r>
        <w:rPr>
          <w:rFonts w:ascii="楷体" w:hAnsi="楷体" w:eastAsia="楷体" w:cs="楷体"/>
          <w:color w:val="000000"/>
          <w:sz w:val="28"/>
          <w:szCs w:val="28"/>
        </w:rPr>
        <w:t>，提</w:t>
      </w:r>
      <w:r>
        <w:rPr>
          <w:rFonts w:hint="eastAsia" w:ascii="楷体" w:hAnsi="楷体" w:eastAsia="楷体" w:cs="楷体"/>
          <w:color w:val="000000"/>
          <w:sz w:val="28"/>
          <w:szCs w:val="28"/>
        </w:rPr>
        <w:t>升</w:t>
      </w:r>
      <w:r>
        <w:rPr>
          <w:rFonts w:ascii="楷体" w:hAnsi="楷体" w:eastAsia="楷体" w:cs="楷体"/>
          <w:color w:val="000000"/>
          <w:sz w:val="28"/>
          <w:szCs w:val="28"/>
        </w:rPr>
        <w:t>医院的</w:t>
      </w:r>
      <w:r>
        <w:rPr>
          <w:rFonts w:hint="eastAsia" w:ascii="楷体" w:hAnsi="楷体" w:eastAsia="楷体" w:cs="楷体"/>
          <w:color w:val="000000"/>
          <w:sz w:val="28"/>
          <w:szCs w:val="28"/>
        </w:rPr>
        <w:t>合理用药水平和</w:t>
      </w:r>
      <w:r>
        <w:rPr>
          <w:rFonts w:ascii="楷体" w:hAnsi="楷体" w:eastAsia="楷体" w:cs="楷体"/>
          <w:color w:val="000000"/>
          <w:sz w:val="28"/>
          <w:szCs w:val="28"/>
        </w:rPr>
        <w:t>医疗质量</w:t>
      </w:r>
      <w:r>
        <w:rPr>
          <w:rFonts w:hint="eastAsia" w:ascii="楷体" w:hAnsi="楷体" w:eastAsia="楷体" w:cs="楷体"/>
          <w:color w:val="000000"/>
          <w:sz w:val="28"/>
          <w:szCs w:val="28"/>
        </w:rPr>
        <w:t>，提升患者满意度</w:t>
      </w:r>
      <w:r>
        <w:rPr>
          <w:rFonts w:ascii="楷体" w:hAnsi="楷体" w:eastAsia="楷体" w:cs="楷体"/>
          <w:color w:val="000000"/>
          <w:sz w:val="28"/>
          <w:szCs w:val="28"/>
        </w:rPr>
        <w:t>。</w:t>
      </w:r>
      <w:bookmarkEnd w:id="0"/>
      <w:bookmarkEnd w:id="1"/>
    </w:p>
    <w:p>
      <w:pPr>
        <w:pStyle w:val="4"/>
        <w:numPr>
          <w:ilvl w:val="0"/>
          <w:numId w:val="1"/>
        </w:numPr>
        <w:spacing w:line="360" w:lineRule="auto"/>
        <w:rPr>
          <w:rFonts w:hint="eastAsia" w:ascii="楷体" w:hAnsi="楷体" w:eastAsia="楷体" w:cs="楷体"/>
          <w:b w:val="0"/>
          <w:bCs w:val="0"/>
          <w:kern w:val="0"/>
          <w:sz w:val="28"/>
          <w:szCs w:val="28"/>
        </w:rPr>
      </w:pPr>
      <w:r>
        <w:rPr>
          <w:rFonts w:hint="eastAsia" w:ascii="楷体" w:hAnsi="楷体" w:eastAsia="楷体" w:cs="楷体"/>
          <w:b w:val="0"/>
          <w:bCs w:val="0"/>
          <w:kern w:val="0"/>
          <w:sz w:val="28"/>
          <w:szCs w:val="28"/>
        </w:rPr>
        <w:t>功能需求描述</w:t>
      </w:r>
    </w:p>
    <w:p>
      <w:pPr>
        <w:rPr>
          <w:rFonts w:ascii="楷体" w:hAnsi="楷体" w:eastAsia="楷体" w:cs="楷体"/>
          <w:color w:val="000000"/>
          <w:sz w:val="28"/>
          <w:szCs w:val="28"/>
        </w:rPr>
      </w:pPr>
      <w:r>
        <w:rPr>
          <w:rFonts w:hint="eastAsia" w:ascii="楷体" w:hAnsi="楷体" w:eastAsia="楷体"/>
          <w:sz w:val="28"/>
          <w:szCs w:val="28"/>
        </w:rPr>
        <w:t xml:space="preserve">     </w:t>
      </w:r>
      <w:bookmarkStart w:id="3" w:name="_Toc494938774"/>
      <w:bookmarkStart w:id="4" w:name="_Toc495419131"/>
      <w:bookmarkStart w:id="5" w:name="_Toc495419130"/>
      <w:bookmarkStart w:id="6" w:name="_Toc494938773"/>
      <w:r>
        <w:rPr>
          <w:rFonts w:hint="eastAsia" w:ascii="楷体" w:hAnsi="楷体" w:eastAsia="楷体" w:cs="楷体"/>
          <w:color w:val="000000"/>
          <w:sz w:val="28"/>
          <w:szCs w:val="28"/>
        </w:rPr>
        <w:t>1.发现潜在不合理用药问题</w:t>
      </w:r>
      <w:bookmarkEnd w:id="3"/>
      <w:r>
        <w:rPr>
          <w:rFonts w:hint="eastAsia" w:ascii="楷体" w:hAnsi="楷体" w:eastAsia="楷体" w:cs="楷体"/>
          <w:color w:val="000000"/>
          <w:sz w:val="28"/>
          <w:szCs w:val="28"/>
        </w:rPr>
        <w:t>的需求</w:t>
      </w:r>
      <w:bookmarkEnd w:id="4"/>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①在医生开处方（医嘱）时完成处方（医嘱）实时审查，及时发现潜在的不合理用药问题。</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②为药师提供专门的审方平台对医生处方（医嘱）进行实时审查干预，满足处方医嘱前置审核的要求。</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2.医药信息查询需求</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医生和药师能及时查询到相关药品的临床应用信息，如药品说明书等。</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3．统计分析合理用药情况的需求</w:t>
      </w:r>
      <w:bookmarkEnd w:id="5"/>
      <w:bookmarkEnd w:id="6"/>
      <w:bookmarkStart w:id="7" w:name="_Hlk494718264"/>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①对全院用药状况进行统计分析，全方位了解医生用药习惯、状况和趋势，为制定切实有效的合理用药管理策略提供数据支撑</w:t>
      </w:r>
      <w:bookmarkEnd w:id="7"/>
      <w:r>
        <w:rPr>
          <w:rFonts w:ascii="楷体" w:hAnsi="楷体" w:eastAsia="楷体" w:cs="楷体"/>
          <w:color w:val="000000"/>
          <w:sz w:val="28"/>
          <w:szCs w:val="28"/>
        </w:rPr>
        <w:t>。</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②统计系统审查的集采药品使用问题以及医疗机构集采药品任务完成情况等，帮助药师及医疗机构管理者调整制定合理的集采药品管控措施。</w:t>
      </w:r>
      <w:bookmarkStart w:id="8" w:name="_Toc495419132"/>
      <w:bookmarkStart w:id="9" w:name="_Toc494938775"/>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4．医院药学管理信息化的需求</w:t>
      </w:r>
      <w:bookmarkEnd w:id="8"/>
      <w:bookmarkEnd w:id="9"/>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利用信息化手段对医疗机构门诊、住院诊疗行为、用药情况等开展全程监控和智能审核，建立以患者为中心，覆盖整个疾病过程的全程化药学服务模式，强化医院药学有效供给。</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5.开展居家药学服务的需求</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建立内、外网交互机制，将药学服务延伸到院外，让药师能够在医院内网环境下与患者在线交互，实现患者远程用药管理，提高用药依从性，提升治疗效果，实现患者全程化用药管理。</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6.药学服务向院外延伸的需求</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打破院内与院外的信息壁垒，为患者提供精细化个体化的院外用药服务，减少用药差错，提高用药依从性，提升治疗效果。</w:t>
      </w:r>
    </w:p>
    <w:p>
      <w:pPr>
        <w:pStyle w:val="14"/>
        <w:numPr>
          <w:ilvl w:val="0"/>
          <w:numId w:val="1"/>
        </w:numPr>
        <w:spacing w:line="360" w:lineRule="auto"/>
        <w:ind w:firstLineChars="0"/>
        <w:outlineLvl w:val="0"/>
        <w:rPr>
          <w:rFonts w:ascii="楷体" w:hAnsi="楷体" w:eastAsia="楷体" w:cs="楷体"/>
          <w:sz w:val="28"/>
          <w:szCs w:val="28"/>
        </w:rPr>
      </w:pPr>
      <w:r>
        <w:rPr>
          <w:rFonts w:hint="eastAsia" w:ascii="楷体" w:hAnsi="楷体" w:eastAsia="楷体" w:cs="楷体"/>
          <w:sz w:val="28"/>
          <w:szCs w:val="28"/>
        </w:rPr>
        <w:t>资格要求及报名材料</w:t>
      </w:r>
    </w:p>
    <w:p>
      <w:pPr>
        <w:pStyle w:val="14"/>
        <w:numPr>
          <w:ilvl w:val="0"/>
          <w:numId w:val="3"/>
        </w:numPr>
        <w:spacing w:line="360" w:lineRule="auto"/>
        <w:ind w:firstLineChars="0"/>
        <w:outlineLvl w:val="0"/>
        <w:rPr>
          <w:rFonts w:ascii="楷体" w:hAnsi="楷体" w:eastAsia="楷体" w:cs="楷体"/>
          <w:sz w:val="28"/>
          <w:szCs w:val="28"/>
        </w:rPr>
      </w:pPr>
      <w:r>
        <w:rPr>
          <w:rFonts w:hint="eastAsia" w:ascii="楷体" w:hAnsi="楷体" w:eastAsia="楷体" w:cs="楷体"/>
          <w:sz w:val="28"/>
          <w:szCs w:val="28"/>
        </w:rPr>
        <w:t>资格要求</w:t>
      </w:r>
    </w:p>
    <w:p>
      <w:pPr>
        <w:numPr>
          <w:ilvl w:val="0"/>
          <w:numId w:val="4"/>
        </w:numPr>
        <w:spacing w:line="360" w:lineRule="auto"/>
        <w:rPr>
          <w:rFonts w:ascii="楷体" w:hAnsi="楷体" w:eastAsia="楷体" w:cs="楷体"/>
          <w:sz w:val="28"/>
          <w:szCs w:val="28"/>
        </w:rPr>
      </w:pPr>
      <w:r>
        <w:rPr>
          <w:rFonts w:hint="eastAsia" w:ascii="楷体" w:hAnsi="楷体" w:eastAsia="楷体" w:cs="楷体"/>
          <w:sz w:val="28"/>
          <w:szCs w:val="28"/>
        </w:rPr>
        <w:t>具有相关软件的计算机软件著作权登记证书；</w:t>
      </w:r>
    </w:p>
    <w:p>
      <w:pPr>
        <w:numPr>
          <w:ilvl w:val="0"/>
          <w:numId w:val="4"/>
        </w:numPr>
        <w:spacing w:line="360" w:lineRule="auto"/>
        <w:rPr>
          <w:rFonts w:ascii="楷体" w:hAnsi="楷体" w:eastAsia="楷体" w:cs="楷体"/>
          <w:sz w:val="28"/>
          <w:szCs w:val="28"/>
        </w:rPr>
      </w:pPr>
      <w:r>
        <w:rPr>
          <w:rFonts w:hint="eastAsia" w:ascii="楷体" w:hAnsi="楷体" w:eastAsia="楷体" w:cs="楷体"/>
          <w:sz w:val="28"/>
          <w:szCs w:val="28"/>
        </w:rPr>
        <w:t>具有独立承担民事责任的能力；</w:t>
      </w:r>
    </w:p>
    <w:p>
      <w:pPr>
        <w:numPr>
          <w:ilvl w:val="0"/>
          <w:numId w:val="4"/>
        </w:numPr>
        <w:spacing w:line="360" w:lineRule="auto"/>
        <w:rPr>
          <w:rFonts w:ascii="楷体" w:hAnsi="楷体" w:eastAsia="楷体" w:cs="楷体"/>
          <w:sz w:val="28"/>
          <w:szCs w:val="28"/>
        </w:rPr>
      </w:pPr>
      <w:r>
        <w:rPr>
          <w:rFonts w:hint="eastAsia" w:ascii="楷体" w:hAnsi="楷体" w:eastAsia="楷体" w:cs="楷体"/>
          <w:sz w:val="28"/>
          <w:szCs w:val="28"/>
        </w:rPr>
        <w:t>具有良好的商业信誉和健全的财务会计制度；</w:t>
      </w:r>
    </w:p>
    <w:p>
      <w:pPr>
        <w:numPr>
          <w:ilvl w:val="0"/>
          <w:numId w:val="4"/>
        </w:numPr>
        <w:spacing w:line="360" w:lineRule="auto"/>
        <w:rPr>
          <w:rFonts w:ascii="楷体" w:hAnsi="楷体" w:eastAsia="楷体" w:cs="楷体"/>
          <w:sz w:val="28"/>
          <w:szCs w:val="28"/>
        </w:rPr>
      </w:pPr>
      <w:r>
        <w:rPr>
          <w:rFonts w:hint="eastAsia" w:ascii="楷体" w:hAnsi="楷体" w:eastAsia="楷体" w:cs="楷体"/>
          <w:sz w:val="28"/>
          <w:szCs w:val="28"/>
        </w:rPr>
        <w:t>具有履行合同所必需的设备和专业技术能力；</w:t>
      </w:r>
    </w:p>
    <w:p>
      <w:pPr>
        <w:numPr>
          <w:ilvl w:val="0"/>
          <w:numId w:val="4"/>
        </w:numPr>
        <w:spacing w:line="360" w:lineRule="auto"/>
        <w:rPr>
          <w:rFonts w:ascii="楷体" w:hAnsi="楷体" w:eastAsia="楷体" w:cs="楷体"/>
          <w:sz w:val="28"/>
          <w:szCs w:val="28"/>
        </w:rPr>
      </w:pPr>
      <w:r>
        <w:rPr>
          <w:rFonts w:hint="eastAsia" w:ascii="楷体" w:hAnsi="楷体" w:eastAsia="楷体" w:cs="楷体"/>
          <w:sz w:val="28"/>
          <w:szCs w:val="28"/>
        </w:rPr>
        <w:t>有依法缴纳税收和社会保障资金的良好记录；</w:t>
      </w:r>
    </w:p>
    <w:p>
      <w:pPr>
        <w:numPr>
          <w:ilvl w:val="0"/>
          <w:numId w:val="4"/>
        </w:numPr>
        <w:spacing w:line="360" w:lineRule="auto"/>
        <w:rPr>
          <w:rFonts w:ascii="楷体" w:hAnsi="楷体" w:eastAsia="楷体" w:cs="楷体"/>
          <w:sz w:val="28"/>
          <w:szCs w:val="28"/>
        </w:rPr>
      </w:pPr>
      <w:r>
        <w:rPr>
          <w:rFonts w:hint="eastAsia" w:ascii="楷体" w:hAnsi="楷体" w:eastAsia="楷体" w:cs="楷体"/>
          <w:sz w:val="28"/>
          <w:szCs w:val="28"/>
        </w:rPr>
        <w:t>参加政府采购活动前三年内，在经营活动中没有重大违法记录被处于投标禁入期；</w:t>
      </w:r>
    </w:p>
    <w:p>
      <w:pPr>
        <w:numPr>
          <w:ilvl w:val="0"/>
          <w:numId w:val="4"/>
        </w:numPr>
        <w:spacing w:line="360" w:lineRule="auto"/>
        <w:rPr>
          <w:rFonts w:ascii="楷体" w:hAnsi="楷体" w:eastAsia="楷体" w:cs="楷体"/>
          <w:sz w:val="28"/>
          <w:szCs w:val="28"/>
        </w:rPr>
      </w:pPr>
      <w:r>
        <w:rPr>
          <w:rFonts w:hint="eastAsia" w:ascii="楷体" w:hAnsi="楷体" w:eastAsia="楷体" w:cs="楷体"/>
          <w:sz w:val="28"/>
          <w:szCs w:val="28"/>
        </w:rPr>
        <w:t>法律、行政法规规定的其他条件。</w:t>
      </w:r>
    </w:p>
    <w:p>
      <w:pPr>
        <w:numPr>
          <w:ilvl w:val="0"/>
          <w:numId w:val="4"/>
        </w:numPr>
        <w:spacing w:line="360" w:lineRule="auto"/>
        <w:rPr>
          <w:rFonts w:ascii="楷体" w:hAnsi="楷体" w:eastAsia="楷体" w:cs="楷体"/>
          <w:sz w:val="28"/>
          <w:szCs w:val="28"/>
        </w:rPr>
      </w:pPr>
      <w:r>
        <w:rPr>
          <w:rFonts w:hint="eastAsia" w:ascii="楷体" w:hAnsi="楷体" w:eastAsia="楷体" w:cs="楷体"/>
          <w:sz w:val="28"/>
          <w:szCs w:val="28"/>
        </w:rPr>
        <w:t>非外资独资或外资控股企业。</w:t>
      </w:r>
    </w:p>
    <w:p>
      <w:pPr>
        <w:pStyle w:val="14"/>
        <w:numPr>
          <w:ilvl w:val="0"/>
          <w:numId w:val="3"/>
        </w:numPr>
        <w:spacing w:line="360" w:lineRule="auto"/>
        <w:ind w:firstLineChars="0"/>
        <w:outlineLvl w:val="0"/>
        <w:rPr>
          <w:rFonts w:ascii="楷体" w:hAnsi="楷体" w:eastAsia="楷体" w:cs="楷体"/>
          <w:sz w:val="28"/>
          <w:szCs w:val="28"/>
        </w:rPr>
      </w:pPr>
      <w:r>
        <w:rPr>
          <w:rFonts w:hint="eastAsia" w:ascii="楷体" w:hAnsi="楷体" w:eastAsia="楷体" w:cs="楷体"/>
          <w:sz w:val="28"/>
          <w:szCs w:val="28"/>
        </w:rPr>
        <w:t>报名材料</w:t>
      </w:r>
    </w:p>
    <w:p>
      <w:pPr>
        <w:numPr>
          <w:ilvl w:val="0"/>
          <w:numId w:val="5"/>
        </w:numPr>
        <w:spacing w:line="360" w:lineRule="auto"/>
        <w:rPr>
          <w:rFonts w:ascii="楷体" w:hAnsi="楷体" w:eastAsia="楷体" w:cs="楷体"/>
          <w:sz w:val="28"/>
          <w:szCs w:val="28"/>
        </w:rPr>
      </w:pPr>
      <w:r>
        <w:rPr>
          <w:rFonts w:hint="eastAsia" w:ascii="楷体" w:hAnsi="楷体" w:eastAsia="楷体" w:cs="楷体"/>
          <w:sz w:val="28"/>
          <w:szCs w:val="28"/>
        </w:rPr>
        <w:t>报名表，见附件。</w:t>
      </w:r>
    </w:p>
    <w:p>
      <w:pPr>
        <w:numPr>
          <w:ilvl w:val="0"/>
          <w:numId w:val="5"/>
        </w:numPr>
        <w:spacing w:line="360" w:lineRule="auto"/>
        <w:rPr>
          <w:rFonts w:ascii="楷体" w:hAnsi="楷体" w:eastAsia="楷体" w:cs="楷体"/>
          <w:sz w:val="28"/>
          <w:szCs w:val="28"/>
        </w:rPr>
      </w:pPr>
      <w:r>
        <w:rPr>
          <w:rFonts w:hint="eastAsia" w:ascii="楷体" w:hAnsi="楷体" w:eastAsia="楷体" w:cs="楷体"/>
          <w:sz w:val="28"/>
          <w:szCs w:val="28"/>
        </w:rPr>
        <w:t>营业执照、税务登记证和组织机构代码证（三证合一的仅提供营业执照）的复印件，且具有本项目相应经营范围。</w:t>
      </w:r>
    </w:p>
    <w:p>
      <w:pPr>
        <w:numPr>
          <w:ilvl w:val="0"/>
          <w:numId w:val="5"/>
        </w:numPr>
        <w:spacing w:line="360" w:lineRule="auto"/>
        <w:rPr>
          <w:rFonts w:ascii="楷体" w:hAnsi="楷体" w:eastAsia="楷体" w:cs="楷体"/>
          <w:sz w:val="28"/>
          <w:szCs w:val="28"/>
        </w:rPr>
      </w:pPr>
      <w:r>
        <w:rPr>
          <w:rFonts w:hint="eastAsia" w:ascii="楷体" w:hAnsi="楷体" w:eastAsia="楷体" w:cs="楷体"/>
          <w:sz w:val="28"/>
          <w:szCs w:val="28"/>
        </w:rPr>
        <w:t>针对本次市场咨询的法定代表人证书或委托代理人授权书。</w:t>
      </w:r>
    </w:p>
    <w:p>
      <w:pPr>
        <w:numPr>
          <w:ilvl w:val="0"/>
          <w:numId w:val="5"/>
        </w:numPr>
        <w:spacing w:line="360" w:lineRule="auto"/>
        <w:rPr>
          <w:rFonts w:ascii="楷体" w:hAnsi="楷体" w:eastAsia="楷体" w:cs="楷体"/>
          <w:sz w:val="28"/>
          <w:szCs w:val="28"/>
        </w:rPr>
      </w:pPr>
      <w:r>
        <w:rPr>
          <w:rFonts w:hint="eastAsia" w:ascii="楷体" w:hAnsi="楷体" w:eastAsia="楷体" w:cs="楷体"/>
          <w:sz w:val="28"/>
          <w:szCs w:val="28"/>
        </w:rPr>
        <w:t>资质认证证书、荣誉证书</w:t>
      </w:r>
      <w:r>
        <w:rPr>
          <w:rFonts w:hint="eastAsia" w:ascii="楷体" w:hAnsi="楷体" w:eastAsia="楷体" w:cs="楷体"/>
          <w:sz w:val="28"/>
          <w:szCs w:val="28"/>
          <w:lang w:eastAsia="zh-CN"/>
        </w:rPr>
        <w:t>、</w:t>
      </w:r>
      <w:r>
        <w:rPr>
          <w:rFonts w:hint="eastAsia" w:ascii="楷体" w:hAnsi="楷体" w:eastAsia="楷体" w:cs="楷体"/>
          <w:sz w:val="28"/>
          <w:szCs w:val="28"/>
        </w:rPr>
        <w:t>计算机软件著作权登记证书等相关证明文件的复印件</w:t>
      </w:r>
      <w:r>
        <w:rPr>
          <w:rFonts w:hint="eastAsia" w:ascii="楷体" w:hAnsi="楷体" w:eastAsia="楷体" w:cs="楷体"/>
          <w:sz w:val="28"/>
          <w:szCs w:val="28"/>
          <w:lang w:eastAsia="zh-CN"/>
        </w:rPr>
        <w:t>（证书所有者须与报名单位一致）</w:t>
      </w:r>
      <w:r>
        <w:rPr>
          <w:rFonts w:hint="eastAsia" w:ascii="楷体" w:hAnsi="楷体" w:eastAsia="楷体" w:cs="楷体"/>
          <w:sz w:val="28"/>
          <w:szCs w:val="28"/>
        </w:rPr>
        <w:t>。</w:t>
      </w:r>
    </w:p>
    <w:p>
      <w:pPr>
        <w:numPr>
          <w:ilvl w:val="0"/>
          <w:numId w:val="5"/>
        </w:numPr>
        <w:spacing w:line="360" w:lineRule="auto"/>
        <w:rPr>
          <w:rFonts w:ascii="楷体" w:hAnsi="楷体" w:eastAsia="楷体" w:cs="楷体"/>
          <w:sz w:val="28"/>
          <w:szCs w:val="28"/>
        </w:rPr>
      </w:pPr>
      <w:r>
        <w:rPr>
          <w:rFonts w:hint="eastAsia" w:ascii="楷体" w:hAnsi="楷体" w:eastAsia="楷体" w:cs="楷体"/>
          <w:sz w:val="28"/>
          <w:szCs w:val="28"/>
        </w:rPr>
        <w:t>提供三级甲等医院相关的案例合同（案例不少于3家）。</w:t>
      </w:r>
    </w:p>
    <w:p>
      <w:pPr>
        <w:numPr>
          <w:ilvl w:val="0"/>
          <w:numId w:val="5"/>
        </w:numPr>
        <w:spacing w:line="360" w:lineRule="auto"/>
        <w:rPr>
          <w:rFonts w:ascii="楷体" w:hAnsi="楷体" w:eastAsia="楷体" w:cs="楷体"/>
          <w:sz w:val="28"/>
          <w:szCs w:val="28"/>
        </w:rPr>
      </w:pPr>
      <w:r>
        <w:rPr>
          <w:rFonts w:hint="eastAsia" w:ascii="楷体" w:hAnsi="楷体" w:eastAsia="楷体" w:cs="楷体"/>
          <w:sz w:val="28"/>
          <w:szCs w:val="28"/>
        </w:rPr>
        <w:t>服务保障和支持能力的说明文件</w:t>
      </w:r>
    </w:p>
    <w:p>
      <w:pPr>
        <w:numPr>
          <w:ilvl w:val="0"/>
          <w:numId w:val="5"/>
        </w:numPr>
        <w:spacing w:line="360" w:lineRule="auto"/>
        <w:rPr>
          <w:rFonts w:ascii="楷体" w:hAnsi="楷体" w:eastAsia="楷体" w:cs="楷体"/>
          <w:sz w:val="28"/>
          <w:szCs w:val="28"/>
        </w:rPr>
      </w:pPr>
      <w:r>
        <w:rPr>
          <w:rFonts w:hint="eastAsia" w:ascii="楷体" w:hAnsi="楷体" w:eastAsia="楷体" w:cs="楷体"/>
          <w:sz w:val="28"/>
          <w:szCs w:val="28"/>
        </w:rPr>
        <w:t>以上材料均需加盖公章。</w:t>
      </w:r>
    </w:p>
    <w:p>
      <w:pPr>
        <w:pStyle w:val="14"/>
        <w:numPr>
          <w:ilvl w:val="0"/>
          <w:numId w:val="1"/>
        </w:numPr>
        <w:spacing w:line="360" w:lineRule="auto"/>
        <w:ind w:firstLineChars="0"/>
        <w:outlineLvl w:val="0"/>
        <w:rPr>
          <w:rFonts w:ascii="楷体" w:hAnsi="楷体" w:eastAsia="楷体" w:cs="楷体"/>
          <w:sz w:val="28"/>
          <w:szCs w:val="28"/>
        </w:rPr>
      </w:pPr>
      <w:r>
        <w:rPr>
          <w:rFonts w:hint="eastAsia" w:ascii="楷体" w:hAnsi="楷体" w:eastAsia="楷体" w:cs="楷体"/>
          <w:sz w:val="28"/>
          <w:szCs w:val="28"/>
        </w:rPr>
        <w:t>征询时间及方式</w:t>
      </w:r>
    </w:p>
    <w:p>
      <w:pPr>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提交报名邮件文件截止时间：2023年</w:t>
      </w:r>
      <w:r>
        <w:rPr>
          <w:rFonts w:hint="eastAsia" w:ascii="楷体" w:hAnsi="楷体" w:eastAsia="楷体" w:cs="楷体"/>
          <w:sz w:val="28"/>
          <w:szCs w:val="28"/>
          <w:lang w:val="en-US" w:eastAsia="zh-CN"/>
        </w:rPr>
        <w:t>12</w:t>
      </w:r>
      <w:r>
        <w:rPr>
          <w:rFonts w:hint="eastAsia" w:ascii="楷体" w:hAnsi="楷体" w:eastAsia="楷体" w:cs="楷体"/>
          <w:sz w:val="28"/>
          <w:szCs w:val="28"/>
        </w:rPr>
        <w:t>月</w:t>
      </w:r>
      <w:r>
        <w:rPr>
          <w:rFonts w:hint="eastAsia" w:ascii="楷体" w:hAnsi="楷体" w:eastAsia="楷体" w:cs="楷体"/>
          <w:sz w:val="28"/>
          <w:szCs w:val="28"/>
          <w:lang w:val="en-US" w:eastAsia="zh-CN"/>
        </w:rPr>
        <w:t>04</w:t>
      </w:r>
      <w:r>
        <w:rPr>
          <w:rFonts w:hint="eastAsia" w:ascii="楷体" w:hAnsi="楷体" w:eastAsia="楷体" w:cs="楷体"/>
          <w:sz w:val="28"/>
          <w:szCs w:val="28"/>
        </w:rPr>
        <w:t>日北京时间</w:t>
      </w:r>
      <w:r>
        <w:rPr>
          <w:rFonts w:hint="eastAsia" w:ascii="楷体" w:hAnsi="楷体" w:eastAsia="楷体" w:cs="楷体"/>
          <w:sz w:val="28"/>
          <w:szCs w:val="28"/>
          <w:lang w:val="en-US" w:eastAsia="zh-CN"/>
        </w:rPr>
        <w:t>17</w:t>
      </w:r>
      <w:r>
        <w:rPr>
          <w:rFonts w:hint="eastAsia" w:ascii="楷体" w:hAnsi="楷体" w:eastAsia="楷体" w:cs="楷体"/>
          <w:sz w:val="28"/>
          <w:szCs w:val="28"/>
        </w:rPr>
        <w:t>:</w:t>
      </w:r>
      <w:r>
        <w:rPr>
          <w:rFonts w:hint="eastAsia" w:ascii="楷体" w:hAnsi="楷体" w:eastAsia="楷体" w:cs="楷体"/>
          <w:sz w:val="28"/>
          <w:szCs w:val="28"/>
          <w:lang w:val="en-US" w:eastAsia="zh-CN"/>
        </w:rPr>
        <w:t>00</w:t>
      </w:r>
      <w:r>
        <w:rPr>
          <w:rFonts w:hint="eastAsia" w:ascii="楷体" w:hAnsi="楷体" w:eastAsia="楷体" w:cs="楷体"/>
          <w:sz w:val="28"/>
          <w:szCs w:val="28"/>
        </w:rPr>
        <w:t>，可先将盖章电子档文件扫描件回复至邮箱</w:t>
      </w:r>
      <w:r>
        <w:rPr>
          <w:rFonts w:hint="eastAsia" w:ascii="楷体" w:hAnsi="楷体" w:eastAsia="楷体" w:cs="楷体"/>
          <w:color w:val="FF0000"/>
          <w:sz w:val="28"/>
          <w:szCs w:val="28"/>
          <w:lang w:val="en-US" w:eastAsia="zh-CN"/>
        </w:rPr>
        <w:t>351248963</w:t>
      </w:r>
      <w:r>
        <w:rPr>
          <w:rFonts w:hint="eastAsia" w:ascii="楷体" w:hAnsi="楷体" w:eastAsia="楷体" w:cs="楷体"/>
          <w:color w:val="FF0000"/>
          <w:sz w:val="28"/>
          <w:szCs w:val="28"/>
        </w:rPr>
        <w:t>@qq.com</w:t>
      </w:r>
      <w:r>
        <w:rPr>
          <w:rFonts w:hint="eastAsia" w:ascii="楷体" w:hAnsi="楷体" w:eastAsia="楷体" w:cs="楷体"/>
          <w:sz w:val="28"/>
          <w:szCs w:val="28"/>
        </w:rPr>
        <w:t>，逾期不予受理。电子邮件的主题格式为：项目名称+供应商名称，正文应清晰体现供应商名称、联系人及联系电话。</w:t>
      </w:r>
    </w:p>
    <w:p>
      <w:pPr>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我们将对申请进行审核，并筛选出符合我们要求的潜在服务商。于审核通过的潜在服务商，我们将发出正式的邀请函，并安排具体现场调研交流时间，由医院通过服务商报名邮件地址反馈通知。纸质报名资料(盖鲜章)在现场调研时，请潜在服务商送至重钢总医院信息科。(地址：重庆市重钢总医院)。</w:t>
      </w:r>
    </w:p>
    <w:p>
      <w:pPr>
        <w:pStyle w:val="15"/>
        <w:spacing w:before="0" w:after="0" w:line="360" w:lineRule="auto"/>
        <w:ind w:firstLine="3679" w:firstLineChars="1533"/>
        <w:outlineLvl w:val="0"/>
        <w:rPr>
          <w:rFonts w:ascii="楷体" w:hAnsi="楷体" w:eastAsia="楷体" w:cs="楷体"/>
          <w:sz w:val="24"/>
          <w:szCs w:val="20"/>
        </w:rPr>
      </w:pPr>
    </w:p>
    <w:p>
      <w:pPr>
        <w:pStyle w:val="15"/>
        <w:spacing w:before="0" w:after="0" w:line="360" w:lineRule="auto"/>
        <w:ind w:firstLine="3679" w:firstLineChars="1533"/>
        <w:outlineLvl w:val="0"/>
        <w:rPr>
          <w:rFonts w:ascii="楷体" w:hAnsi="楷体" w:eastAsia="楷体" w:cs="楷体"/>
          <w:sz w:val="24"/>
          <w:szCs w:val="20"/>
        </w:rPr>
      </w:pPr>
    </w:p>
    <w:p>
      <w:pPr>
        <w:pStyle w:val="15"/>
        <w:spacing w:before="0" w:after="0" w:line="360" w:lineRule="auto"/>
        <w:ind w:firstLine="3679" w:firstLineChars="1533"/>
        <w:outlineLvl w:val="0"/>
        <w:rPr>
          <w:rFonts w:ascii="楷体" w:hAnsi="楷体" w:eastAsia="楷体" w:cs="楷体"/>
          <w:sz w:val="24"/>
          <w:szCs w:val="20"/>
        </w:rPr>
      </w:pPr>
      <w:r>
        <w:rPr>
          <w:rFonts w:hint="eastAsia" w:ascii="楷体" w:hAnsi="楷体" w:eastAsia="楷体" w:cs="楷体"/>
          <w:sz w:val="24"/>
          <w:szCs w:val="20"/>
        </w:rPr>
        <w:t>联系人：黄老师</w:t>
      </w:r>
    </w:p>
    <w:p>
      <w:pPr>
        <w:pStyle w:val="15"/>
        <w:spacing w:before="0" w:after="0" w:line="360" w:lineRule="auto"/>
        <w:ind w:firstLine="3679" w:firstLineChars="1533"/>
        <w:outlineLvl w:val="0"/>
        <w:rPr>
          <w:rFonts w:ascii="楷体" w:hAnsi="楷体" w:eastAsia="楷体" w:cs="楷体"/>
          <w:sz w:val="24"/>
          <w:szCs w:val="20"/>
        </w:rPr>
      </w:pPr>
      <w:r>
        <w:rPr>
          <w:rFonts w:hint="eastAsia" w:ascii="楷体" w:hAnsi="楷体" w:eastAsia="楷体" w:cs="楷体"/>
          <w:sz w:val="24"/>
          <w:szCs w:val="20"/>
        </w:rPr>
        <w:t>联系电话：023-81915049</w:t>
      </w:r>
    </w:p>
    <w:p>
      <w:pPr>
        <w:pStyle w:val="15"/>
        <w:spacing w:before="0" w:after="0" w:line="360" w:lineRule="auto"/>
        <w:ind w:firstLine="3679" w:firstLineChars="1533"/>
        <w:outlineLvl w:val="0"/>
        <w:rPr>
          <w:rFonts w:ascii="楷体" w:hAnsi="楷体" w:eastAsia="楷体" w:cs="楷体"/>
          <w:sz w:val="24"/>
          <w:szCs w:val="20"/>
        </w:rPr>
      </w:pPr>
      <w:r>
        <w:rPr>
          <w:rFonts w:hint="eastAsia" w:ascii="楷体" w:hAnsi="楷体" w:eastAsia="楷体" w:cs="楷体"/>
          <w:sz w:val="24"/>
          <w:szCs w:val="20"/>
        </w:rPr>
        <w:t xml:space="preserve">日期：2023年 </w:t>
      </w:r>
      <w:r>
        <w:rPr>
          <w:rFonts w:hint="eastAsia" w:ascii="楷体" w:hAnsi="楷体" w:eastAsia="楷体" w:cs="楷体"/>
          <w:sz w:val="24"/>
          <w:szCs w:val="20"/>
          <w:lang w:val="en-US" w:eastAsia="zh-CN"/>
        </w:rPr>
        <w:t>12</w:t>
      </w:r>
      <w:r>
        <w:rPr>
          <w:rFonts w:hint="eastAsia" w:ascii="楷体" w:hAnsi="楷体" w:eastAsia="楷体" w:cs="楷体"/>
          <w:sz w:val="24"/>
          <w:szCs w:val="20"/>
        </w:rPr>
        <w:t>月</w:t>
      </w:r>
      <w:r>
        <w:rPr>
          <w:rFonts w:hint="eastAsia" w:ascii="楷体" w:hAnsi="楷体" w:eastAsia="楷体" w:cs="楷体"/>
          <w:sz w:val="24"/>
          <w:szCs w:val="20"/>
          <w:lang w:val="en-US" w:eastAsia="zh-CN"/>
        </w:rPr>
        <w:t>01</w:t>
      </w:r>
      <w:r>
        <w:rPr>
          <w:rFonts w:hint="eastAsia" w:ascii="楷体" w:hAnsi="楷体" w:eastAsia="楷体" w:cs="楷体"/>
          <w:sz w:val="24"/>
          <w:szCs w:val="20"/>
        </w:rPr>
        <w:t xml:space="preserve">日 </w:t>
      </w:r>
    </w:p>
    <w:p>
      <w:pPr>
        <w:pStyle w:val="13"/>
        <w:spacing w:before="31" w:after="31" w:line="360" w:lineRule="auto"/>
        <w:ind w:left="567"/>
        <w:rPr>
          <w:rFonts w:ascii="楷体" w:hAnsi="楷体" w:eastAsia="楷体" w:cs="楷体"/>
        </w:rPr>
      </w:pPr>
      <w:bookmarkStart w:id="10" w:name="_GoBack"/>
      <w:bookmarkEnd w:id="10"/>
    </w:p>
    <w:p>
      <w:pPr>
        <w:pStyle w:val="13"/>
        <w:spacing w:before="31" w:after="31" w:line="360" w:lineRule="auto"/>
        <w:ind w:left="567"/>
        <w:rPr>
          <w:rFonts w:ascii="楷体" w:hAnsi="楷体" w:eastAsia="楷体" w:cs="楷体"/>
        </w:rPr>
      </w:pPr>
      <w:r>
        <w:rPr>
          <w:rFonts w:hint="eastAsia" w:ascii="楷体" w:hAnsi="楷体" w:eastAsia="楷体" w:cs="楷体"/>
        </w:rPr>
        <w:t>附件：报名表</w:t>
      </w:r>
    </w:p>
    <w:tbl>
      <w:tblPr>
        <w:tblStyle w:val="11"/>
        <w:tblW w:w="0" w:type="auto"/>
        <w:tblInd w:w="7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49"/>
        <w:gridCol w:w="41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985" w:type="dxa"/>
            <w:gridSpan w:val="2"/>
          </w:tcPr>
          <w:p>
            <w:pPr>
              <w:widowControl w:val="0"/>
              <w:spacing w:line="360" w:lineRule="auto"/>
              <w:ind w:firstLine="480" w:firstLineChars="200"/>
              <w:jc w:val="both"/>
              <w:rPr>
                <w:rFonts w:ascii="楷体" w:hAnsi="楷体" w:eastAsia="楷体" w:cs="楷体"/>
              </w:rPr>
            </w:pPr>
            <w:r>
              <w:rPr>
                <w:rFonts w:hint="eastAsia" w:ascii="楷体" w:hAnsi="楷体" w:eastAsia="楷体" w:cs="楷体"/>
              </w:rPr>
              <w:t>报名表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94" w:type="dxa"/>
          </w:tcPr>
          <w:p>
            <w:pPr>
              <w:widowControl w:val="0"/>
              <w:spacing w:line="360" w:lineRule="auto"/>
              <w:ind w:firstLine="480" w:firstLineChars="200"/>
              <w:jc w:val="both"/>
              <w:rPr>
                <w:rFonts w:ascii="楷体" w:hAnsi="楷体" w:eastAsia="楷体" w:cs="楷体"/>
              </w:rPr>
            </w:pPr>
            <w:r>
              <w:rPr>
                <w:rFonts w:hint="eastAsia" w:ascii="楷体" w:hAnsi="楷体" w:eastAsia="楷体" w:cs="楷体"/>
              </w:rPr>
              <w:t>单位名称</w:t>
            </w:r>
          </w:p>
        </w:tc>
        <w:tc>
          <w:tcPr>
            <w:tcW w:w="4491" w:type="dxa"/>
          </w:tcPr>
          <w:p>
            <w:pPr>
              <w:widowControl w:val="0"/>
              <w:spacing w:line="360" w:lineRule="auto"/>
              <w:ind w:firstLine="480" w:firstLineChars="200"/>
              <w:jc w:val="both"/>
              <w:rPr>
                <w:rFonts w:ascii="楷体" w:hAnsi="楷体" w:eastAsia="楷体" w:cs="楷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94" w:type="dxa"/>
          </w:tcPr>
          <w:p>
            <w:pPr>
              <w:widowControl w:val="0"/>
              <w:spacing w:line="360" w:lineRule="auto"/>
              <w:ind w:firstLine="480" w:firstLineChars="200"/>
              <w:jc w:val="both"/>
              <w:rPr>
                <w:rFonts w:ascii="楷体" w:hAnsi="楷体" w:eastAsia="楷体" w:cs="楷体"/>
              </w:rPr>
            </w:pPr>
            <w:r>
              <w:rPr>
                <w:rFonts w:hint="eastAsia" w:ascii="楷体" w:hAnsi="楷体" w:eastAsia="楷体" w:cs="楷体"/>
              </w:rPr>
              <w:t>授权代表</w:t>
            </w:r>
          </w:p>
        </w:tc>
        <w:tc>
          <w:tcPr>
            <w:tcW w:w="4491" w:type="dxa"/>
          </w:tcPr>
          <w:p>
            <w:pPr>
              <w:widowControl w:val="0"/>
              <w:spacing w:line="360" w:lineRule="auto"/>
              <w:ind w:firstLine="480" w:firstLineChars="200"/>
              <w:jc w:val="both"/>
              <w:rPr>
                <w:rFonts w:ascii="楷体" w:hAnsi="楷体" w:eastAsia="楷体" w:cs="楷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94" w:type="dxa"/>
          </w:tcPr>
          <w:p>
            <w:pPr>
              <w:widowControl w:val="0"/>
              <w:spacing w:line="360" w:lineRule="auto"/>
              <w:ind w:firstLine="480" w:firstLineChars="200"/>
              <w:jc w:val="both"/>
              <w:rPr>
                <w:rFonts w:ascii="楷体" w:hAnsi="楷体" w:eastAsia="楷体" w:cs="楷体"/>
              </w:rPr>
            </w:pPr>
            <w:r>
              <w:rPr>
                <w:rFonts w:hint="eastAsia" w:ascii="楷体" w:hAnsi="楷体" w:eastAsia="楷体" w:cs="楷体"/>
              </w:rPr>
              <w:t>授权代表职务</w:t>
            </w:r>
          </w:p>
        </w:tc>
        <w:tc>
          <w:tcPr>
            <w:tcW w:w="4491" w:type="dxa"/>
          </w:tcPr>
          <w:p>
            <w:pPr>
              <w:widowControl w:val="0"/>
              <w:spacing w:line="360" w:lineRule="auto"/>
              <w:ind w:firstLine="480" w:firstLineChars="200"/>
              <w:jc w:val="both"/>
              <w:rPr>
                <w:rFonts w:ascii="楷体" w:hAnsi="楷体" w:eastAsia="楷体" w:cs="楷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94" w:type="dxa"/>
          </w:tcPr>
          <w:p>
            <w:pPr>
              <w:widowControl w:val="0"/>
              <w:spacing w:line="360" w:lineRule="auto"/>
              <w:ind w:firstLine="480" w:firstLineChars="200"/>
              <w:jc w:val="both"/>
              <w:rPr>
                <w:rFonts w:ascii="楷体" w:hAnsi="楷体" w:eastAsia="楷体" w:cs="楷体"/>
              </w:rPr>
            </w:pPr>
            <w:r>
              <w:rPr>
                <w:rFonts w:hint="eastAsia" w:ascii="楷体" w:hAnsi="楷体" w:eastAsia="楷体" w:cs="楷体"/>
              </w:rPr>
              <w:t>联系人及电话</w:t>
            </w:r>
          </w:p>
        </w:tc>
        <w:tc>
          <w:tcPr>
            <w:tcW w:w="4491" w:type="dxa"/>
          </w:tcPr>
          <w:p>
            <w:pPr>
              <w:widowControl w:val="0"/>
              <w:spacing w:line="360" w:lineRule="auto"/>
              <w:ind w:firstLine="480" w:firstLineChars="200"/>
              <w:jc w:val="both"/>
              <w:rPr>
                <w:rFonts w:ascii="楷体" w:hAnsi="楷体" w:eastAsia="楷体" w:cs="楷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94" w:type="dxa"/>
          </w:tcPr>
          <w:p>
            <w:pPr>
              <w:widowControl w:val="0"/>
              <w:spacing w:line="360" w:lineRule="auto"/>
              <w:ind w:firstLine="480" w:firstLineChars="200"/>
              <w:jc w:val="both"/>
              <w:rPr>
                <w:rFonts w:ascii="楷体" w:hAnsi="楷体" w:eastAsia="楷体" w:cs="楷体"/>
              </w:rPr>
            </w:pPr>
            <w:r>
              <w:rPr>
                <w:rFonts w:hint="eastAsia" w:ascii="楷体" w:hAnsi="楷体" w:eastAsia="楷体" w:cs="楷体"/>
              </w:rPr>
              <w:t>电子邮箱</w:t>
            </w:r>
          </w:p>
        </w:tc>
        <w:tc>
          <w:tcPr>
            <w:tcW w:w="4491" w:type="dxa"/>
          </w:tcPr>
          <w:p>
            <w:pPr>
              <w:widowControl w:val="0"/>
              <w:spacing w:line="360" w:lineRule="auto"/>
              <w:ind w:firstLine="480" w:firstLineChars="200"/>
              <w:jc w:val="both"/>
              <w:rPr>
                <w:rFonts w:ascii="楷体" w:hAnsi="楷体" w:eastAsia="楷体" w:cs="楷体"/>
              </w:rPr>
            </w:pPr>
          </w:p>
        </w:tc>
      </w:tr>
    </w:tbl>
    <w:p>
      <w:pPr>
        <w:pStyle w:val="13"/>
        <w:spacing w:before="31" w:after="31" w:line="360" w:lineRule="auto"/>
        <w:ind w:left="567"/>
        <w:rPr>
          <w:rFonts w:ascii="楷体" w:hAnsi="楷体" w:eastAsia="楷体" w:cs="楷体"/>
        </w:rPr>
      </w:pPr>
    </w:p>
    <w:p>
      <w:pPr>
        <w:pStyle w:val="9"/>
        <w:rPr>
          <w:rFonts w:hint="default" w:ascii="宋体" w:hAnsi="宋体" w:cs="宋体"/>
          <w:color w:val="00000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FD7823"/>
    <w:multiLevelType w:val="singleLevel"/>
    <w:tmpl w:val="A5FD7823"/>
    <w:lvl w:ilvl="0" w:tentative="0">
      <w:start w:val="1"/>
      <w:numFmt w:val="decimal"/>
      <w:lvlText w:val="%1."/>
      <w:lvlJc w:val="left"/>
      <w:pPr>
        <w:ind w:left="425" w:hanging="425"/>
      </w:pPr>
      <w:rPr>
        <w:rFonts w:hint="default"/>
      </w:rPr>
    </w:lvl>
  </w:abstractNum>
  <w:abstractNum w:abstractNumId="1">
    <w:nsid w:val="23E411A7"/>
    <w:multiLevelType w:val="multilevel"/>
    <w:tmpl w:val="23E411A7"/>
    <w:lvl w:ilvl="0" w:tentative="0">
      <w:start w:val="1"/>
      <w:numFmt w:val="japaneseCounting"/>
      <w:lvlText w:val="%1、"/>
      <w:lvlJc w:val="left"/>
      <w:pPr>
        <w:ind w:left="1429" w:hanging="720"/>
      </w:pPr>
      <w:rPr>
        <w:rFonts w:hint="default"/>
        <w:lang w:val="en-US"/>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2">
    <w:nsid w:val="245E087E"/>
    <w:multiLevelType w:val="singleLevel"/>
    <w:tmpl w:val="245E087E"/>
    <w:lvl w:ilvl="0" w:tentative="0">
      <w:start w:val="1"/>
      <w:numFmt w:val="chineseCounting"/>
      <w:suff w:val="nothing"/>
      <w:lvlText w:val="（%1）"/>
      <w:lvlJc w:val="left"/>
      <w:pPr>
        <w:ind w:left="0" w:firstLine="420"/>
      </w:pPr>
      <w:rPr>
        <w:rFonts w:hint="eastAsia"/>
      </w:rPr>
    </w:lvl>
  </w:abstractNum>
  <w:abstractNum w:abstractNumId="3">
    <w:nsid w:val="4FBC6310"/>
    <w:multiLevelType w:val="singleLevel"/>
    <w:tmpl w:val="4FBC6310"/>
    <w:lvl w:ilvl="0" w:tentative="0">
      <w:start w:val="1"/>
      <w:numFmt w:val="decimal"/>
      <w:lvlText w:val="%1."/>
      <w:lvlJc w:val="left"/>
      <w:pPr>
        <w:ind w:left="425" w:hanging="425"/>
      </w:pPr>
      <w:rPr>
        <w:rFonts w:hint="default"/>
      </w:rPr>
    </w:lvl>
  </w:abstractNum>
  <w:abstractNum w:abstractNumId="4">
    <w:nsid w:val="6D702CAD"/>
    <w:multiLevelType w:val="multilevel"/>
    <w:tmpl w:val="6D702CAD"/>
    <w:lvl w:ilvl="0" w:tentative="0">
      <w:start w:val="1"/>
      <w:numFmt w:val="decimal"/>
      <w:lvlText w:val="%1."/>
      <w:lvlJc w:val="left"/>
      <w:pPr>
        <w:ind w:left="1069" w:hanging="36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lMTVmNTk5M2UxM2I2OTdkYzMyMzEzYTZlMDcxN2UifQ=="/>
  </w:docVars>
  <w:rsids>
    <w:rsidRoot w:val="773636E8"/>
    <w:rsid w:val="001731D9"/>
    <w:rsid w:val="00215169"/>
    <w:rsid w:val="005A0D1B"/>
    <w:rsid w:val="006F7593"/>
    <w:rsid w:val="00771C6E"/>
    <w:rsid w:val="009357C6"/>
    <w:rsid w:val="0096093C"/>
    <w:rsid w:val="009F6188"/>
    <w:rsid w:val="00AD5B60"/>
    <w:rsid w:val="00BD25BF"/>
    <w:rsid w:val="00C56DEF"/>
    <w:rsid w:val="00CE68A9"/>
    <w:rsid w:val="00D15A4C"/>
    <w:rsid w:val="00FD2D33"/>
    <w:rsid w:val="01701C92"/>
    <w:rsid w:val="07E2057E"/>
    <w:rsid w:val="0D8478A4"/>
    <w:rsid w:val="1A692947"/>
    <w:rsid w:val="1AAA2BFD"/>
    <w:rsid w:val="22A5325B"/>
    <w:rsid w:val="265A7B33"/>
    <w:rsid w:val="27357D4E"/>
    <w:rsid w:val="2FB83480"/>
    <w:rsid w:val="328C0BF4"/>
    <w:rsid w:val="36A520BF"/>
    <w:rsid w:val="37FF302F"/>
    <w:rsid w:val="3CC02EAF"/>
    <w:rsid w:val="40EC329C"/>
    <w:rsid w:val="4539351F"/>
    <w:rsid w:val="4C251C5B"/>
    <w:rsid w:val="4F7A7F9C"/>
    <w:rsid w:val="5AB04F68"/>
    <w:rsid w:val="5DD044C5"/>
    <w:rsid w:val="5EE44E48"/>
    <w:rsid w:val="60D85101"/>
    <w:rsid w:val="6D7875A9"/>
    <w:rsid w:val="738059BC"/>
    <w:rsid w:val="742D6E39"/>
    <w:rsid w:val="74A0585D"/>
    <w:rsid w:val="773636E8"/>
    <w:rsid w:val="785638CE"/>
    <w:rsid w:val="79534C4C"/>
    <w:rsid w:val="7DDF2C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4">
    <w:name w:val="heading 2"/>
    <w:basedOn w:val="1"/>
    <w:next w:val="1"/>
    <w:link w:val="20"/>
    <w:unhideWhenUsed/>
    <w:qFormat/>
    <w:uiPriority w:val="9"/>
    <w:pPr>
      <w:keepNext/>
      <w:keepLines/>
      <w:widowControl w:val="0"/>
      <w:spacing w:before="260" w:after="260" w:line="416" w:lineRule="auto"/>
      <w:jc w:val="both"/>
      <w:outlineLvl w:val="1"/>
    </w:pPr>
    <w:rPr>
      <w:rFonts w:asciiTheme="majorHAnsi" w:hAnsiTheme="majorHAnsi" w:eastAsiaTheme="majorEastAsia" w:cstheme="majorBidi"/>
      <w:b/>
      <w:bCs/>
      <w:kern w:val="2"/>
      <w:sz w:val="32"/>
      <w:szCs w:val="32"/>
    </w:rPr>
  </w:style>
  <w:style w:type="paragraph" w:styleId="5">
    <w:name w:val="heading 3"/>
    <w:basedOn w:val="1"/>
    <w:next w:val="1"/>
    <w:link w:val="19"/>
    <w:unhideWhenUsed/>
    <w:qFormat/>
    <w:uiPriority w:val="9"/>
    <w:pPr>
      <w:keepNext/>
      <w:keepLines/>
      <w:spacing w:before="260" w:after="260" w:line="416" w:lineRule="atLeast"/>
      <w:ind w:firstLine="200" w:firstLineChars="200"/>
      <w:outlineLvl w:val="2"/>
    </w:pPr>
    <w:rPr>
      <w:rFonts w:eastAsia="仿宋_GB2312" w:asciiTheme="minorHAnsi" w:hAnsiTheme="minorHAnsi" w:cstheme="minorBidi"/>
      <w:b/>
      <w:bCs/>
      <w:kern w:val="2"/>
      <w:sz w:val="32"/>
      <w:szCs w:val="32"/>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Plain Text"/>
    <w:basedOn w:val="1"/>
    <w:qFormat/>
    <w:uiPriority w:val="0"/>
    <w:pPr>
      <w:widowControl w:val="0"/>
      <w:autoSpaceDE w:val="0"/>
      <w:autoSpaceDN w:val="0"/>
      <w:adjustRightInd w:val="0"/>
      <w:jc w:val="both"/>
    </w:pPr>
    <w:rPr>
      <w:rFonts w:ascii="宋体" w:hAnsi="Tms Rmn"/>
      <w:sz w:val="21"/>
      <w:szCs w:val="21"/>
    </w:rPr>
  </w:style>
  <w:style w:type="paragraph" w:styleId="6">
    <w:name w:val="footer"/>
    <w:basedOn w:val="1"/>
    <w:link w:val="18"/>
    <w:qFormat/>
    <w:uiPriority w:val="0"/>
    <w:pPr>
      <w:tabs>
        <w:tab w:val="center" w:pos="4153"/>
        <w:tab w:val="right" w:pos="8306"/>
      </w:tabs>
      <w:snapToGrid w:val="0"/>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99"/>
    <w:pPr>
      <w:spacing w:line="180" w:lineRule="auto"/>
      <w:jc w:val="center"/>
    </w:pPr>
    <w:rPr>
      <w:sz w:val="30"/>
    </w:rPr>
  </w:style>
  <w:style w:type="paragraph" w:styleId="9">
    <w:name w:val="footnote text"/>
    <w:basedOn w:val="1"/>
    <w:qFormat/>
    <w:uiPriority w:val="0"/>
    <w:pPr>
      <w:snapToGrid w:val="0"/>
    </w:pPr>
    <w:rPr>
      <w:rFonts w:hint="eastAsia"/>
      <w:sz w:val="28"/>
      <w:szCs w:val="18"/>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U_正文2"/>
    <w:basedOn w:val="1"/>
    <w:qFormat/>
    <w:uiPriority w:val="0"/>
    <w:pPr>
      <w:spacing w:beforeLines="10" w:afterLines="10" w:line="300" w:lineRule="auto"/>
    </w:pPr>
    <w:rPr>
      <w:szCs w:val="20"/>
    </w:rPr>
  </w:style>
  <w:style w:type="paragraph" w:styleId="14">
    <w:name w:val="List Paragraph"/>
    <w:basedOn w:val="1"/>
    <w:qFormat/>
    <w:uiPriority w:val="34"/>
    <w:pPr>
      <w:ind w:firstLine="420" w:firstLineChars="200"/>
    </w:pPr>
  </w:style>
  <w:style w:type="paragraph" w:customStyle="1" w:styleId="15">
    <w:name w:val="Text"/>
    <w:basedOn w:val="1"/>
    <w:qFormat/>
    <w:uiPriority w:val="0"/>
    <w:pPr>
      <w:widowControl w:val="0"/>
      <w:tabs>
        <w:tab w:val="left" w:pos="425"/>
        <w:tab w:val="left" w:pos="851"/>
        <w:tab w:val="left" w:pos="1276"/>
        <w:tab w:val="left" w:pos="1701"/>
        <w:tab w:val="left" w:pos="2126"/>
        <w:tab w:val="left" w:pos="2552"/>
        <w:tab w:val="left" w:pos="2977"/>
      </w:tabs>
      <w:adjustRightInd w:val="0"/>
      <w:spacing w:before="120" w:after="120" w:line="300" w:lineRule="auto"/>
      <w:ind w:firstLine="560"/>
      <w:jc w:val="both"/>
    </w:pPr>
    <w:rPr>
      <w:rFonts w:ascii="宋体" w:hAnsi="宋体" w:eastAsia="仿宋_GB2312"/>
      <w:kern w:val="2"/>
      <w:sz w:val="28"/>
    </w:rPr>
  </w:style>
  <w:style w:type="paragraph" w:customStyle="1" w:styleId="16">
    <w:name w:val="要求正文"/>
    <w:basedOn w:val="1"/>
    <w:qFormat/>
    <w:uiPriority w:val="0"/>
    <w:pPr>
      <w:spacing w:line="400" w:lineRule="exact"/>
      <w:ind w:firstLine="420" w:firstLineChars="200"/>
    </w:pPr>
  </w:style>
  <w:style w:type="character" w:customStyle="1" w:styleId="17">
    <w:name w:val="页眉 Char"/>
    <w:basedOn w:val="12"/>
    <w:link w:val="7"/>
    <w:qFormat/>
    <w:uiPriority w:val="0"/>
    <w:rPr>
      <w:sz w:val="18"/>
      <w:szCs w:val="18"/>
    </w:rPr>
  </w:style>
  <w:style w:type="character" w:customStyle="1" w:styleId="18">
    <w:name w:val="页脚 Char"/>
    <w:basedOn w:val="12"/>
    <w:link w:val="6"/>
    <w:qFormat/>
    <w:uiPriority w:val="0"/>
    <w:rPr>
      <w:sz w:val="18"/>
      <w:szCs w:val="18"/>
    </w:rPr>
  </w:style>
  <w:style w:type="character" w:customStyle="1" w:styleId="19">
    <w:name w:val="标题 3 Char"/>
    <w:basedOn w:val="12"/>
    <w:link w:val="5"/>
    <w:qFormat/>
    <w:uiPriority w:val="9"/>
    <w:rPr>
      <w:rFonts w:eastAsia="仿宋_GB2312" w:asciiTheme="minorHAnsi" w:hAnsiTheme="minorHAnsi" w:cstheme="minorBidi"/>
      <w:b/>
      <w:bCs/>
      <w:kern w:val="2"/>
      <w:sz w:val="32"/>
      <w:szCs w:val="32"/>
    </w:rPr>
  </w:style>
  <w:style w:type="character" w:customStyle="1" w:styleId="20">
    <w:name w:val="标题 2 Char"/>
    <w:basedOn w:val="12"/>
    <w:link w:val="4"/>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501</Words>
  <Characters>2860</Characters>
  <Lines>23</Lines>
  <Paragraphs>6</Paragraphs>
  <TotalTime>5</TotalTime>
  <ScaleCrop>false</ScaleCrop>
  <LinksUpToDate>false</LinksUpToDate>
  <CharactersWithSpaces>3355</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2023-11-27T02:03:00Z</dcterms:created>
  <dc:creator>至于</dc:creator>
  <cp:lastModifiedBy>Anonymity</cp:lastModifiedBy>
  <dcterms:modified xsi:type="dcterms:W3CDTF">2023-12-01T09:41:34Z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0FFB08C59A284EBFAD13EEEAE00C6F51</vt:lpwstr>
  </property>
</Properties>
</file>