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val="0"/>
          <w:bCs/>
          <w:sz w:val="32"/>
          <w:szCs w:val="32"/>
          <w:u w:val="single"/>
        </w:rPr>
        <w:t xml:space="preserve">   </w:t>
      </w:r>
      <w:r>
        <w:rPr>
          <w:rFonts w:hint="eastAsia"/>
          <w:b w:val="0"/>
          <w:bCs/>
          <w:sz w:val="32"/>
          <w:szCs w:val="32"/>
          <w:u w:val="single"/>
          <w:lang w:eastAsia="zh-CN"/>
        </w:rPr>
        <w:t>重钢总医院数字医学影像服务项目（</w:t>
      </w:r>
      <w:r>
        <w:rPr>
          <w:rFonts w:hint="eastAsia"/>
          <w:b w:val="0"/>
          <w:bCs/>
          <w:sz w:val="32"/>
          <w:szCs w:val="32"/>
          <w:u w:val="single"/>
          <w:lang w:val="en-US" w:eastAsia="zh-CN"/>
        </w:rPr>
        <w:t>第二次）</w:t>
      </w:r>
      <w:r>
        <w:rPr>
          <w:rFonts w:hint="eastAsia"/>
          <w:b w:val="0"/>
          <w:bCs/>
          <w:sz w:val="32"/>
          <w:szCs w:val="32"/>
          <w:u w:val="single"/>
        </w:rPr>
        <w:t xml:space="preserve"> </w:t>
      </w:r>
      <w:r>
        <w:rPr>
          <w:rFonts w:hint="eastAsia"/>
          <w:b w:val="0"/>
          <w:bCs/>
          <w:sz w:val="28"/>
          <w:szCs w:val="28"/>
          <w:u w:val="single"/>
        </w:rPr>
        <w:t xml:space="preserve">  </w:t>
      </w:r>
    </w:p>
    <w:p>
      <w:pPr>
        <w:spacing w:line="800" w:lineRule="exact"/>
        <w:jc w:val="center"/>
        <w:rPr>
          <w:rFonts w:eastAsia="宋体"/>
          <w:color w:val="auto"/>
          <w:sz w:val="28"/>
          <w:szCs w:val="28"/>
        </w:rPr>
      </w:pPr>
      <w:r>
        <w:rPr>
          <w:rFonts w:hint="eastAsia" w:eastAsia="宋体"/>
          <w:color w:val="auto"/>
          <w:sz w:val="28"/>
          <w:szCs w:val="28"/>
        </w:rPr>
        <w:t>（</w:t>
      </w:r>
      <w:r>
        <w:rPr>
          <w:rFonts w:hint="eastAsia" w:eastAsia="宋体"/>
          <w:b/>
          <w:bCs/>
          <w:color w:val="auto"/>
          <w:sz w:val="28"/>
          <w:szCs w:val="28"/>
        </w:rPr>
        <w:t>项目编号</w:t>
      </w:r>
      <w:r>
        <w:rPr>
          <w:rFonts w:hint="eastAsia" w:eastAsia="宋体"/>
          <w:color w:val="auto"/>
          <w:sz w:val="28"/>
          <w:szCs w:val="28"/>
        </w:rPr>
        <w:t>：</w:t>
      </w:r>
      <w:r>
        <w:rPr>
          <w:rFonts w:hint="eastAsia" w:eastAsia="宋体"/>
          <w:color w:val="auto"/>
          <w:sz w:val="28"/>
          <w:szCs w:val="28"/>
          <w:u w:val="single"/>
        </w:rPr>
        <w:t xml:space="preserve">    </w:t>
      </w:r>
      <w:r>
        <w:rPr>
          <w:rFonts w:eastAsia="宋体"/>
          <w:color w:val="auto"/>
          <w:sz w:val="28"/>
          <w:szCs w:val="28"/>
          <w:u w:val="single"/>
        </w:rPr>
        <w:t>CGZYYCG202</w:t>
      </w:r>
      <w:r>
        <w:rPr>
          <w:rFonts w:hint="eastAsia" w:eastAsia="宋体"/>
          <w:color w:val="auto"/>
          <w:sz w:val="28"/>
          <w:szCs w:val="28"/>
          <w:u w:val="single"/>
        </w:rPr>
        <w:t>4</w:t>
      </w:r>
      <w:r>
        <w:rPr>
          <w:rFonts w:hint="eastAsia" w:eastAsia="宋体"/>
          <w:color w:val="auto"/>
          <w:sz w:val="28"/>
          <w:szCs w:val="28"/>
          <w:u w:val="single"/>
          <w:lang w:val="en-US" w:eastAsia="zh-CN"/>
        </w:rPr>
        <w:t>1</w:t>
      </w:r>
      <w:r>
        <w:rPr>
          <w:rFonts w:hint="eastAsia"/>
          <w:color w:val="auto"/>
          <w:sz w:val="28"/>
          <w:szCs w:val="28"/>
          <w:u w:val="single"/>
          <w:lang w:val="en-US" w:eastAsia="zh-CN"/>
        </w:rPr>
        <w:t>9</w:t>
      </w:r>
      <w:r>
        <w:rPr>
          <w:rFonts w:hint="eastAsia" w:eastAsia="宋体"/>
          <w:color w:val="auto"/>
          <w:sz w:val="28"/>
          <w:szCs w:val="28"/>
          <w:u w:val="single"/>
        </w:rPr>
        <w:t xml:space="preserve">   </w:t>
      </w:r>
      <w:r>
        <w:rPr>
          <w:rFonts w:hint="eastAsia" w:eastAsia="宋体"/>
          <w:color w:val="auto"/>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lang w:eastAsia="zh-CN"/>
        </w:rPr>
        <w:t>2024</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w:t>
      </w:r>
      <w:r>
        <w:rPr>
          <w:rFonts w:hint="eastAsia" w:ascii="宋体" w:hAnsi="宋体" w:cs="宋体"/>
          <w:b/>
          <w:bCs/>
          <w:sz w:val="24"/>
          <w:szCs w:val="24"/>
          <w:u w:val="single"/>
          <w:lang w:eastAsia="zh-CN"/>
        </w:rPr>
        <w:t>重钢总医院数字医学影像服务项目（</w:t>
      </w:r>
      <w:r>
        <w:rPr>
          <w:rFonts w:hint="eastAsia" w:ascii="宋体" w:hAnsi="宋体" w:cs="宋体"/>
          <w:b/>
          <w:bCs/>
          <w:sz w:val="24"/>
          <w:szCs w:val="24"/>
          <w:u w:val="single"/>
          <w:lang w:val="en-US" w:eastAsia="zh-CN"/>
        </w:rPr>
        <w:t>第二次）</w:t>
      </w:r>
      <w:r>
        <w:rPr>
          <w:rFonts w:hint="eastAsia"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w:t>
      </w:r>
      <w:r>
        <w:rPr>
          <w:rFonts w:hint="eastAsia" w:ascii="宋体" w:hAnsi="宋体" w:cs="宋体"/>
          <w:sz w:val="24"/>
          <w:szCs w:val="24"/>
          <w:lang w:eastAsia="zh-CN"/>
        </w:rPr>
        <w:t>重钢总医院数字医学影像服务项目</w:t>
      </w:r>
      <w:r>
        <w:rPr>
          <w:rFonts w:hint="eastAsia" w:ascii="宋体" w:hAnsi="宋体" w:cs="宋体"/>
          <w:sz w:val="24"/>
          <w:szCs w:val="24"/>
        </w:rPr>
        <w:t>进行比选。欢迎有合法资质的单位前来参选。</w:t>
      </w: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w:t>
      </w:r>
      <w:r>
        <w:rPr>
          <w:rFonts w:hint="eastAsia" w:ascii="宋体" w:hAnsi="宋体" w:cs="宋体"/>
          <w:sz w:val="24"/>
          <w:szCs w:val="24"/>
          <w:lang w:eastAsia="zh-CN"/>
        </w:rPr>
        <w:t>重钢总医院数字医学影像服务项目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重庆市大渡口区大堰三村特1号</w:t>
      </w:r>
    </w:p>
    <w:p>
      <w:pPr>
        <w:spacing w:line="420" w:lineRule="exact"/>
        <w:ind w:firstLine="482" w:firstLineChars="200"/>
        <w:rPr>
          <w:rFonts w:hint="default" w:ascii="宋体" w:hAnsi="宋体" w:eastAsia="宋体" w:cs="宋体"/>
          <w:b/>
          <w:bCs/>
          <w:color w:val="FF0000"/>
          <w:sz w:val="24"/>
          <w:szCs w:val="24"/>
          <w:lang w:val="en-US" w:eastAsia="zh-CN"/>
        </w:rPr>
      </w:pPr>
      <w:r>
        <w:rPr>
          <w:rFonts w:hint="eastAsia" w:ascii="宋体" w:hAnsi="宋体" w:cs="宋体"/>
          <w:b/>
          <w:bCs/>
          <w:color w:val="auto"/>
          <w:sz w:val="24"/>
          <w:szCs w:val="24"/>
        </w:rPr>
        <w:t>三、服务期限</w:t>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自中选人与比选人签订书面合同起至重庆市卫生健康委员会发布相关数字医学影像服务收费政策止。</w:t>
      </w:r>
    </w:p>
    <w:p>
      <w:pPr>
        <w:spacing w:line="420" w:lineRule="exact"/>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四、项目概况：</w:t>
      </w:r>
      <w:r>
        <w:rPr>
          <w:rFonts w:hint="eastAsia" w:ascii="宋体" w:hAnsi="宋体" w:cs="宋体"/>
          <w:b w:val="0"/>
          <w:bCs w:val="0"/>
          <w:color w:val="auto"/>
          <w:sz w:val="24"/>
          <w:szCs w:val="24"/>
          <w:lang w:val="en-US" w:eastAsia="zh-CN"/>
        </w:rPr>
        <w:t>依托现有移动服务端（如公众号、小程序、APP 等），按照应用管理规范与技术标准，对接渝康健应用管理系统，实现实人认证、应用授权等流程，提供安全便捷的医学影像图像和报告查询服务，在市级卫生健康公众服务平台发布全市统一聚合的查询服务，并提供符合检查结果互认要求的数字影像存储、实现患者获取查阅下载等服务。</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、资格要求</w:t>
      </w:r>
      <w:r>
        <w:rPr>
          <w:rFonts w:hint="eastAsia" w:ascii="宋体" w:hAnsi="宋体" w:cs="宋体"/>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w:t>
      </w:r>
      <w:r>
        <w:rPr>
          <w:rFonts w:hint="eastAsia" w:cs="宋体" w:asciiTheme="minorEastAsia" w:hAnsiTheme="minorEastAsia" w:eastAsiaTheme="minorEastAsia"/>
          <w:bCs/>
          <w:color w:val="auto"/>
          <w:sz w:val="24"/>
          <w:szCs w:val="24"/>
        </w:rPr>
        <w:t>具有独立承担民事责任的能力</w:t>
      </w:r>
      <w:r>
        <w:rPr>
          <w:rFonts w:hint="eastAsia" w:cs="宋体" w:asciiTheme="minorEastAsia" w:hAnsiTheme="minorEastAsia" w:eastAsiaTheme="minorEastAsia"/>
          <w:color w:val="auto"/>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（二）参加采购活动前三年内，（指</w:t>
      </w:r>
      <w:r>
        <w:rPr>
          <w:rFonts w:ascii="宋体" w:hAnsi="宋体" w:eastAsia="宋体" w:cs="宋体"/>
          <w:color w:val="auto"/>
          <w:sz w:val="24"/>
          <w:szCs w:val="24"/>
        </w:rPr>
        <w:t>20</w:t>
      </w:r>
      <w:r>
        <w:rPr>
          <w:rFonts w:hint="eastAsia" w:ascii="宋体" w:hAnsi="宋体" w:eastAsia="宋体" w:cs="宋体"/>
          <w:color w:val="auto"/>
          <w:sz w:val="24"/>
          <w:szCs w:val="24"/>
        </w:rPr>
        <w:t>21年</w:t>
      </w:r>
      <w:r>
        <w:rPr>
          <w:rFonts w:ascii="宋体" w:hAnsi="宋体" w:eastAsia="宋体" w:cs="宋体"/>
          <w:color w:val="auto"/>
          <w:sz w:val="24"/>
          <w:szCs w:val="24"/>
        </w:rPr>
        <w:t>1</w:t>
      </w:r>
      <w:r>
        <w:rPr>
          <w:rFonts w:hint="eastAsia" w:ascii="宋体" w:hAnsi="宋体" w:eastAsia="宋体" w:cs="宋体"/>
          <w:color w:val="auto"/>
          <w:sz w:val="24"/>
          <w:szCs w:val="24"/>
        </w:rPr>
        <w:t>月</w:t>
      </w:r>
      <w:r>
        <w:rPr>
          <w:rFonts w:ascii="宋体" w:hAnsi="宋体" w:eastAsia="宋体" w:cs="宋体"/>
          <w:color w:val="auto"/>
          <w:sz w:val="24"/>
          <w:szCs w:val="24"/>
        </w:rPr>
        <w:t>1</w:t>
      </w:r>
      <w:r>
        <w:rPr>
          <w:rFonts w:hint="eastAsia" w:ascii="宋体" w:hAnsi="宋体" w:eastAsia="宋体" w:cs="宋体"/>
          <w:color w:val="auto"/>
          <w:sz w:val="24"/>
          <w:szCs w:val="24"/>
        </w:rPr>
        <w:t>日至今），在经营活动中没有重大违法记录。响应人提供书面声明。</w:t>
      </w:r>
    </w:p>
    <w:p>
      <w:pPr>
        <w:spacing w:line="420" w:lineRule="exact"/>
        <w:ind w:firstLine="480" w:firstLineChars="200"/>
        <w:rPr>
          <w:rFonts w:ascii="宋体" w:hAnsi="Times New Roman" w:eastAsia="宋体" w:cs="宋体"/>
          <w:b/>
          <w:color w:val="auto"/>
          <w:sz w:val="24"/>
          <w:szCs w:val="24"/>
        </w:rPr>
      </w:pPr>
      <w:r>
        <w:rPr>
          <w:rFonts w:hint="eastAsia" w:ascii="宋体" w:hAnsi="宋体" w:eastAsia="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．信用中国网站（</w:t>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"http://www.creditchina.gov.cn" </w:instrText>
      </w:r>
      <w:r>
        <w:rPr>
          <w:rFonts w:ascii="Times New Roman" w:hAnsi="Times New Roman" w:eastAsia="宋体" w:cs="Times New Roman"/>
          <w:color w:val="auto"/>
        </w:rPr>
        <w:fldChar w:fldCharType="separate"/>
      </w:r>
      <w:r>
        <w:rPr>
          <w:rFonts w:ascii="宋体" w:hAnsi="宋体" w:eastAsia="宋体" w:cs="宋体"/>
          <w:color w:val="auto"/>
          <w:sz w:val="24"/>
          <w:szCs w:val="24"/>
        </w:rPr>
        <w:t>www.creditchina.gov.cn</w:t>
      </w:r>
      <w:r>
        <w:rPr>
          <w:rFonts w:ascii="宋体" w:hAnsi="宋体" w:eastAsia="宋体" w:cs="宋体"/>
          <w:color w:val="auto"/>
          <w:sz w:val="24"/>
          <w:szCs w:val="24"/>
        </w:rPr>
        <w:fldChar w:fldCharType="end"/>
      </w:r>
      <w:r>
        <w:rPr>
          <w:rFonts w:hint="eastAsia" w:ascii="宋体" w:hAnsi="宋体" w:eastAsia="宋体" w:cs="宋体"/>
          <w:color w:val="auto"/>
          <w:sz w:val="24"/>
          <w:szCs w:val="24"/>
        </w:rPr>
        <w:t>）以下内容的查询结果网页（查询信息为响应人名称）</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“信用信息”查询结果。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“失信被执行人”查询结果。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“重大税收违法案件当事人名单”查询结果。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“政府行政许可与行政处罚”查询结果。</w:t>
      </w:r>
    </w:p>
    <w:p>
      <w:pPr>
        <w:spacing w:line="420" w:lineRule="exact"/>
        <w:ind w:firstLine="480" w:firstLineChars="200"/>
        <w:rPr>
          <w:rFonts w:ascii="宋体" w:hAnsi="Times New Roman"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．中国政府采购网（</w:t>
      </w:r>
      <w:r>
        <w:rPr>
          <w:rFonts w:ascii="宋体" w:hAnsi="宋体" w:eastAsia="宋体" w:cs="宋体"/>
          <w:color w:val="auto"/>
          <w:sz w:val="24"/>
          <w:szCs w:val="24"/>
        </w:rPr>
        <w:t>www.ccgp.gov.cn</w:t>
      </w:r>
      <w:r>
        <w:rPr>
          <w:rFonts w:hint="eastAsia" w:ascii="宋体" w:hAnsi="宋体" w:eastAsia="宋体" w:cs="宋体"/>
          <w:color w:val="auto"/>
          <w:sz w:val="24"/>
          <w:szCs w:val="24"/>
        </w:rPr>
        <w:t>）“政府采购严重违法失信行为记录名单”查询结果。</w:t>
      </w:r>
    </w:p>
    <w:p>
      <w:pPr>
        <w:spacing w:line="420" w:lineRule="exact"/>
        <w:ind w:firstLine="480" w:firstLineChars="200"/>
        <w:rPr>
          <w:rFonts w:ascii="宋体" w:hAnsi="Times New Roman" w:eastAsia="宋体" w:cs="宋体"/>
          <w:color w:val="auto"/>
          <w:sz w:val="24"/>
          <w:szCs w:val="24"/>
        </w:rPr>
      </w:pPr>
      <w:r>
        <w:rPr>
          <w:rFonts w:hint="eastAsia" w:ascii="宋体" w:hAnsi="Times New Roman" w:eastAsia="宋体" w:cs="宋体"/>
          <w:color w:val="auto"/>
          <w:sz w:val="24"/>
          <w:szCs w:val="24"/>
        </w:rPr>
        <w:t>（三）法律、行政法规规定的其他条件。</w:t>
      </w:r>
    </w:p>
    <w:p>
      <w:pPr>
        <w:spacing w:line="420" w:lineRule="exact"/>
        <w:ind w:firstLine="480" w:firstLineChars="200"/>
        <w:rPr>
          <w:rFonts w:ascii="宋体" w:hAnsi="Times New Roman" w:eastAsia="宋体" w:cs="宋体"/>
          <w:color w:val="auto"/>
          <w:sz w:val="24"/>
          <w:szCs w:val="24"/>
        </w:rPr>
      </w:pPr>
      <w:r>
        <w:rPr>
          <w:rFonts w:hint="eastAsia" w:ascii="宋体" w:hAnsi="Times New Roman" w:eastAsia="宋体" w:cs="宋体"/>
          <w:color w:val="auto"/>
          <w:sz w:val="24"/>
          <w:szCs w:val="24"/>
        </w:rPr>
        <w:t>（四）本次比选不接受联合体参与。</w:t>
      </w:r>
    </w:p>
    <w:p>
      <w:pPr>
        <w:spacing w:line="440" w:lineRule="exact"/>
        <w:ind w:firstLine="482" w:firstLineChars="200"/>
        <w:rPr>
          <w:rFonts w:hint="default" w:ascii="宋体" w:hAnsi="宋体" w:eastAsia="宋体" w:cs="宋体"/>
          <w:b/>
          <w:sz w:val="24"/>
          <w:szCs w:val="24"/>
          <w:lang w:val="en-US" w:eastAsia="zh-CN"/>
        </w:rPr>
      </w:pPr>
      <w:r>
        <w:rPr>
          <w:rFonts w:hint="eastAsia" w:ascii="宋体" w:hAnsi="宋体" w:cs="宋体"/>
          <w:b/>
          <w:bCs/>
          <w:sz w:val="24"/>
          <w:szCs w:val="24"/>
          <w:lang w:val="en-US" w:eastAsia="zh-CN"/>
        </w:rPr>
        <w:t>六</w:t>
      </w:r>
      <w:r>
        <w:rPr>
          <w:rFonts w:hint="eastAsia" w:ascii="宋体" w:hAnsi="宋体" w:cs="宋体"/>
          <w:b/>
          <w:bCs/>
          <w:sz w:val="24"/>
          <w:szCs w:val="24"/>
        </w:rPr>
        <w:t>、现场踏勘</w:t>
      </w:r>
      <w:r>
        <w:rPr>
          <w:rFonts w:hint="eastAsia" w:ascii="宋体" w:hAnsi="宋体" w:cs="宋体"/>
          <w:sz w:val="24"/>
          <w:szCs w:val="24"/>
        </w:rPr>
        <w:t>：</w:t>
      </w:r>
      <w:r>
        <w:rPr>
          <w:rFonts w:hint="eastAsia" w:ascii="宋体" w:hAnsi="宋体" w:cs="宋体"/>
          <w:color w:val="auto"/>
          <w:sz w:val="24"/>
          <w:szCs w:val="24"/>
          <w:lang w:val="en-US" w:eastAsia="zh-CN"/>
        </w:rPr>
        <w:t>不组织</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、比选时间、地点及文件获取</w:t>
      </w:r>
    </w:p>
    <w:p>
      <w:pPr>
        <w:spacing w:line="420" w:lineRule="exact"/>
        <w:ind w:firstLine="480" w:firstLineChars="200"/>
        <w:rPr>
          <w:rFonts w:ascii="宋体" w:hAnsi="宋体" w:cs="宋体"/>
          <w:sz w:val="24"/>
          <w:szCs w:val="24"/>
        </w:rPr>
      </w:pPr>
      <w:r>
        <w:rPr>
          <w:rFonts w:hint="eastAsia" w:ascii="宋体" w:hAnsi="宋体" w:cs="宋体"/>
          <w:sz w:val="24"/>
          <w:szCs w:val="24"/>
        </w:rPr>
        <w:t>（一）比选文件发布时间：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w:t>
      </w:r>
    </w:p>
    <w:p>
      <w:pPr>
        <w:spacing w:line="420" w:lineRule="exact"/>
        <w:ind w:firstLine="480" w:firstLineChars="200"/>
        <w:rPr>
          <w:rFonts w:ascii="宋体" w:hAnsi="宋体" w:cs="宋体"/>
          <w:sz w:val="24"/>
          <w:szCs w:val="24"/>
        </w:rPr>
      </w:pPr>
      <w:r>
        <w:rPr>
          <w:rFonts w:hint="eastAsia" w:ascii="宋体" w:hAnsi="宋体" w:cs="宋体"/>
          <w:sz w:val="24"/>
          <w:szCs w:val="24"/>
        </w:rPr>
        <w:t>（二）比选时间：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w:t>
      </w:r>
      <w:r>
        <w:rPr>
          <w:rFonts w:hint="eastAsia" w:ascii="宋体" w:hAnsi="宋体" w:cs="宋体"/>
          <w:sz w:val="24"/>
          <w:szCs w:val="24"/>
          <w:lang w:val="en-US" w:eastAsia="zh-CN"/>
        </w:rPr>
        <w:t>上</w:t>
      </w:r>
      <w:r>
        <w:rPr>
          <w:rFonts w:hint="eastAsia" w:ascii="宋体" w:hAnsi="宋体" w:cs="宋体"/>
          <w:sz w:val="24"/>
          <w:szCs w:val="24"/>
        </w:rPr>
        <w:t>午</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0时。</w:t>
      </w:r>
    </w:p>
    <w:p>
      <w:pPr>
        <w:spacing w:line="420" w:lineRule="exact"/>
        <w:ind w:firstLine="480" w:firstLineChars="200"/>
        <w:rPr>
          <w:rFonts w:ascii="宋体" w:hAns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（四）响应文件递交截止时间：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w:t>
      </w:r>
      <w:r>
        <w:rPr>
          <w:rFonts w:hint="eastAsia" w:ascii="宋体" w:hAnsi="宋体" w:cs="宋体"/>
          <w:sz w:val="24"/>
          <w:szCs w:val="24"/>
          <w:lang w:val="en-US" w:eastAsia="zh-CN"/>
        </w:rPr>
        <w:t>上</w:t>
      </w:r>
      <w:r>
        <w:rPr>
          <w:rFonts w:hint="eastAsia" w:ascii="宋体" w:hAnsi="宋体" w:cs="宋体"/>
          <w:sz w:val="24"/>
          <w:szCs w:val="24"/>
        </w:rPr>
        <w:t>午</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0时。超过截止时间的恕不接受（现场递交响应文件）。</w:t>
      </w:r>
      <w:bookmarkStart w:id="2" w:name="_GoBack"/>
      <w:bookmarkEnd w:id="2"/>
    </w:p>
    <w:p>
      <w:pPr>
        <w:spacing w:line="420" w:lineRule="exact"/>
        <w:ind w:firstLine="480" w:firstLineChars="200"/>
        <w:rPr>
          <w:rFonts w:ascii="宋体" w:hAnsi="宋体" w:cs="宋体"/>
          <w:sz w:val="24"/>
          <w:szCs w:val="24"/>
        </w:rPr>
      </w:pPr>
      <w:r>
        <w:rPr>
          <w:rFonts w:hint="eastAsia" w:ascii="宋体" w:hAnsi="宋体" w:cs="宋体"/>
          <w:sz w:val="24"/>
          <w:szCs w:val="24"/>
        </w:rPr>
        <w:t>（五）响应文件递交地点：</w:t>
      </w:r>
      <w:r>
        <w:rPr>
          <w:rFonts w:hint="eastAsia" w:cs="宋体" w:asciiTheme="minorEastAsia" w:hAnsiTheme="minorEastAsia" w:eastAsiaTheme="minorEastAsia"/>
          <w:sz w:val="24"/>
          <w:szCs w:val="24"/>
        </w:rPr>
        <w:t>重钢总医院办公楼三楼一会议室</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组织联系人：尹老师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 xml:space="preserve">023-81915011  </w:t>
      </w:r>
    </w:p>
    <w:p>
      <w:pPr>
        <w:spacing w:line="420" w:lineRule="exact"/>
        <w:ind w:firstLine="480" w:firstLineChars="200"/>
        <w:rPr>
          <w:rFonts w:ascii="宋体" w:hAnsi="宋体" w:cs="宋体"/>
          <w:sz w:val="24"/>
          <w:szCs w:val="24"/>
        </w:rPr>
      </w:pPr>
      <w:r>
        <w:rPr>
          <w:rFonts w:hint="eastAsia" w:ascii="宋体" w:hAnsi="宋体" w:cs="宋体"/>
          <w:sz w:val="24"/>
          <w:szCs w:val="24"/>
        </w:rPr>
        <w:t>业务部门联系人：黄老师       联系电话：023-</w:t>
      </w:r>
      <w:r>
        <w:rPr>
          <w:rFonts w:hint="eastAsia" w:cs="宋体" w:asciiTheme="minorEastAsia" w:hAnsiTheme="minorEastAsia" w:eastAsiaTheme="minorEastAsia"/>
          <w:sz w:val="24"/>
          <w:szCs w:val="24"/>
        </w:rPr>
        <w:t>81915049</w:t>
      </w: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rPr>
        <w:t>：</w:t>
      </w:r>
      <w:r>
        <w:rPr>
          <w:rFonts w:hint="eastAsia" w:ascii="宋体" w:hAnsi="宋体" w:cs="宋体"/>
          <w:sz w:val="24"/>
          <w:szCs w:val="24"/>
          <w:lang w:eastAsia="zh-CN"/>
        </w:rPr>
        <w:t>重钢总医院数字医学影像服务项目</w:t>
      </w:r>
    </w:p>
    <w:p>
      <w:pPr>
        <w:spacing w:line="420" w:lineRule="exact"/>
        <w:ind w:firstLine="482" w:firstLineChars="200"/>
        <w:jc w:val="left"/>
        <w:rPr>
          <w:rFonts w:hint="eastAsia" w:ascii="宋体" w:hAnsi="宋体"/>
          <w:b/>
          <w:sz w:val="24"/>
          <w:szCs w:val="24"/>
        </w:rPr>
      </w:pPr>
      <w:r>
        <w:rPr>
          <w:rFonts w:hint="eastAsia" w:ascii="宋体" w:hAnsi="宋体"/>
          <w:b/>
          <w:sz w:val="24"/>
          <w:szCs w:val="24"/>
        </w:rPr>
        <w:t>二、项目</w:t>
      </w:r>
      <w:r>
        <w:rPr>
          <w:rFonts w:hint="eastAsia" w:ascii="宋体" w:hAnsi="宋体"/>
          <w:b/>
          <w:sz w:val="24"/>
          <w:szCs w:val="24"/>
          <w:lang w:val="en-US" w:eastAsia="zh-CN"/>
        </w:rPr>
        <w:t>有关要求</w:t>
      </w:r>
      <w:r>
        <w:rPr>
          <w:rFonts w:hint="eastAsia" w:ascii="宋体" w:hAnsi="宋体"/>
          <w:b/>
          <w:sz w:val="24"/>
          <w:szCs w:val="24"/>
        </w:rPr>
        <w:t>:</w:t>
      </w:r>
    </w:p>
    <w:p>
      <w:pPr>
        <w:spacing w:line="42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建设内容需满足以下相关政策文件：</w:t>
      </w:r>
    </w:p>
    <w:p>
      <w:pPr>
        <w:spacing w:line="42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《重庆市卫生健康委员会办公室关于印发重庆市数字医学影像服务工作指南与评价内容的通知》（渝卫办发[2024]3号） </w:t>
      </w:r>
    </w:p>
    <w:p>
      <w:pPr>
        <w:spacing w:line="42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《重庆市医疗保障局关于支持我市医学影像检查结果互认完善医疗服务价格项目有关事项的通知》（渝医保发[2024]3号） </w:t>
      </w:r>
    </w:p>
    <w:p>
      <w:pPr>
        <w:spacing w:line="420" w:lineRule="exact"/>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本次建设内容由响应人为比选人免费建设，</w:t>
      </w:r>
      <w:r>
        <w:rPr>
          <w:rFonts w:hint="eastAsia" w:ascii="宋体" w:hAnsi="宋体" w:cs="宋体"/>
          <w:strike w:val="0"/>
          <w:dstrike w:val="0"/>
          <w:color w:val="auto"/>
          <w:sz w:val="24"/>
          <w:szCs w:val="24"/>
          <w:lang w:val="en-US" w:eastAsia="zh-CN"/>
        </w:rPr>
        <w:t>并签订《关于医院数字医学影像服务功能改造项目提前实施函》（详情请见附件1），</w:t>
      </w:r>
      <w:r>
        <w:rPr>
          <w:rFonts w:hint="eastAsia" w:ascii="宋体" w:hAnsi="宋体" w:cs="宋体"/>
          <w:color w:val="auto"/>
          <w:sz w:val="24"/>
          <w:szCs w:val="24"/>
          <w:lang w:val="en-US" w:eastAsia="zh-CN"/>
        </w:rPr>
        <w:t>待后续重庆市卫健委发布相关收费政策后，采购人再根据政策要求重新按流程采购。</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三、技术要求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数字智能胶片</w:t>
      </w:r>
    </w:p>
    <w:tbl>
      <w:tblPr>
        <w:tblStyle w:val="16"/>
        <w:tblW w:w="8350" w:type="dxa"/>
        <w:jc w:val="center"/>
        <w:tblLayout w:type="fixed"/>
        <w:tblCellMar>
          <w:top w:w="0" w:type="dxa"/>
          <w:left w:w="108" w:type="dxa"/>
          <w:bottom w:w="0" w:type="dxa"/>
          <w:right w:w="108" w:type="dxa"/>
        </w:tblCellMar>
      </w:tblPr>
      <w:tblGrid>
        <w:gridCol w:w="1134"/>
        <w:gridCol w:w="7216"/>
      </w:tblGrid>
      <w:tr>
        <w:tblPrEx>
          <w:tblCellMar>
            <w:top w:w="0" w:type="dxa"/>
            <w:left w:w="108" w:type="dxa"/>
            <w:bottom w:w="0" w:type="dxa"/>
            <w:right w:w="108" w:type="dxa"/>
          </w:tblCellMar>
        </w:tblPrEx>
        <w:trPr>
          <w:trHeight w:val="340" w:hRule="atLeast"/>
          <w:jc w:val="center"/>
        </w:trPr>
        <w:tc>
          <w:tcPr>
            <w:tcW w:w="1134"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基本要求</w:t>
            </w:r>
          </w:p>
        </w:tc>
        <w:tc>
          <w:tcPr>
            <w:tcW w:w="72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▲可使用公众号或小程序等方式获取（需提供“云电子胶片及报告系统软件”医疗器械注册证复印件并加盖公章）</w:t>
            </w:r>
          </w:p>
        </w:tc>
      </w:tr>
      <w:tr>
        <w:tblPrEx>
          <w:tblCellMar>
            <w:top w:w="0" w:type="dxa"/>
            <w:left w:w="108" w:type="dxa"/>
            <w:bottom w:w="0" w:type="dxa"/>
            <w:right w:w="108" w:type="dxa"/>
          </w:tblCellMar>
        </w:tblPrEx>
        <w:trPr>
          <w:trHeight w:val="34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▲支持各类影像数据的一体化平台集成应用（需提供“医学影像云平台”相关的医疗云计算可信选型证书）</w:t>
            </w:r>
          </w:p>
        </w:tc>
      </w:tr>
      <w:tr>
        <w:tblPrEx>
          <w:tblCellMar>
            <w:top w:w="0" w:type="dxa"/>
            <w:left w:w="108" w:type="dxa"/>
            <w:bottom w:w="0" w:type="dxa"/>
            <w:right w:w="108" w:type="dxa"/>
          </w:tblCellMar>
        </w:tblPrEx>
        <w:trPr>
          <w:trHeight w:val="34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1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▲支持 DICOM 格式阅览图像</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移动端</w:t>
      </w:r>
    </w:p>
    <w:tbl>
      <w:tblPr>
        <w:tblStyle w:val="16"/>
        <w:tblW w:w="8385" w:type="dxa"/>
        <w:jc w:val="center"/>
        <w:tblLayout w:type="fixed"/>
        <w:tblCellMar>
          <w:top w:w="0" w:type="dxa"/>
          <w:left w:w="108" w:type="dxa"/>
          <w:bottom w:w="0" w:type="dxa"/>
          <w:right w:w="108" w:type="dxa"/>
        </w:tblCellMar>
      </w:tblPr>
      <w:tblGrid>
        <w:gridCol w:w="1144"/>
        <w:gridCol w:w="7241"/>
      </w:tblGrid>
      <w:tr>
        <w:tblPrEx>
          <w:tblCellMar>
            <w:top w:w="0" w:type="dxa"/>
            <w:left w:w="108" w:type="dxa"/>
            <w:bottom w:w="0" w:type="dxa"/>
            <w:right w:w="108" w:type="dxa"/>
          </w:tblCellMar>
        </w:tblPrEx>
        <w:trPr>
          <w:trHeight w:val="340" w:hRule="atLeast"/>
          <w:jc w:val="center"/>
        </w:trPr>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注册登录模块</w:t>
            </w:r>
          </w:p>
        </w:tc>
        <w:tc>
          <w:tcPr>
            <w:tcW w:w="7241" w:type="dxa"/>
            <w:tcBorders>
              <w:top w:val="single" w:color="auto" w:sz="4" w:space="0"/>
              <w:left w:val="nil"/>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▲用户可通过渝康健进行电子医保授权登录（需提供“医学影像移动端”相关的软件著作权复印件并加盖公章）</w:t>
            </w:r>
          </w:p>
        </w:tc>
      </w:tr>
      <w:tr>
        <w:tblPrEx>
          <w:tblCellMar>
            <w:top w:w="0" w:type="dxa"/>
            <w:left w:w="108" w:type="dxa"/>
            <w:bottom w:w="0" w:type="dxa"/>
            <w:right w:w="108" w:type="dxa"/>
          </w:tblCellMar>
        </w:tblPrEx>
        <w:trPr>
          <w:trHeight w:val="340" w:hRule="atLeast"/>
          <w:jc w:val="center"/>
        </w:trPr>
        <w:tc>
          <w:tcPr>
            <w:tcW w:w="1144"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影像报告模块</w:t>
            </w:r>
          </w:p>
        </w:tc>
        <w:tc>
          <w:tcPr>
            <w:tcW w:w="7241"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▲实现通过院内上传的检查数据，在报告审核通过后，患者均可以查看数字影像（需提供“数字智能胶片”相关的软件著作权复印件并加盖公章）</w:t>
            </w:r>
          </w:p>
        </w:tc>
      </w:tr>
      <w:tr>
        <w:tblPrEx>
          <w:tblCellMar>
            <w:top w:w="0" w:type="dxa"/>
            <w:left w:w="108" w:type="dxa"/>
            <w:bottom w:w="0" w:type="dxa"/>
            <w:right w:w="108" w:type="dxa"/>
          </w:tblCellMar>
        </w:tblPrEx>
        <w:trPr>
          <w:trHeight w:val="340" w:hRule="atLeast"/>
          <w:jc w:val="center"/>
        </w:trPr>
        <w:tc>
          <w:tcPr>
            <w:tcW w:w="1144" w:type="dxa"/>
            <w:vMerge w:val="continue"/>
            <w:tcBorders>
              <w:left w:val="single" w:color="auto" w:sz="4" w:space="0"/>
              <w:right w:val="single" w:color="auto" w:sz="4" w:space="0"/>
            </w:tcBorders>
            <w:shd w:val="clear" w:color="auto" w:fill="auto"/>
            <w:noWrap/>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为选择数字胶片的患者提供影像报告调阅服务；</w:t>
            </w:r>
          </w:p>
        </w:tc>
      </w:tr>
      <w:tr>
        <w:tblPrEx>
          <w:tblCellMar>
            <w:top w:w="0" w:type="dxa"/>
            <w:left w:w="108" w:type="dxa"/>
            <w:bottom w:w="0" w:type="dxa"/>
            <w:right w:w="108" w:type="dxa"/>
          </w:tblCellMar>
        </w:tblPrEx>
        <w:trPr>
          <w:trHeight w:val="340" w:hRule="atLeast"/>
          <w:jc w:val="center"/>
        </w:trPr>
        <w:tc>
          <w:tcPr>
            <w:tcW w:w="1144" w:type="dxa"/>
            <w:vMerge w:val="continue"/>
            <w:tcBorders>
              <w:left w:val="single" w:color="auto" w:sz="4" w:space="0"/>
              <w:right w:val="single" w:color="auto" w:sz="4" w:space="0"/>
            </w:tcBorders>
            <w:shd w:val="clear" w:color="auto" w:fill="auto"/>
            <w:noWrap/>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可按时间轴倒序查看历次检查列表</w:t>
            </w:r>
          </w:p>
        </w:tc>
      </w:tr>
      <w:tr>
        <w:tblPrEx>
          <w:tblCellMar>
            <w:top w:w="0" w:type="dxa"/>
            <w:left w:w="108" w:type="dxa"/>
            <w:bottom w:w="0" w:type="dxa"/>
            <w:right w:w="108" w:type="dxa"/>
          </w:tblCellMar>
        </w:tblPrEx>
        <w:trPr>
          <w:trHeight w:val="340" w:hRule="atLeast"/>
          <w:jc w:val="center"/>
        </w:trPr>
        <w:tc>
          <w:tcPr>
            <w:tcW w:w="1144" w:type="dxa"/>
            <w:vMerge w:val="continue"/>
            <w:tcBorders>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支持显示检查数据及报告信息</w:t>
            </w:r>
          </w:p>
        </w:tc>
      </w:tr>
      <w:tr>
        <w:tblPrEx>
          <w:tblCellMar>
            <w:top w:w="0" w:type="dxa"/>
            <w:left w:w="108" w:type="dxa"/>
            <w:bottom w:w="0" w:type="dxa"/>
            <w:right w:w="108" w:type="dxa"/>
          </w:tblCellMar>
        </w:tblPrEx>
        <w:trPr>
          <w:trHeight w:val="340" w:hRule="atLeast"/>
          <w:jc w:val="center"/>
        </w:trPr>
        <w:tc>
          <w:tcPr>
            <w:tcW w:w="1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r>
              <w:rPr>
                <w:rFonts w:hint="eastAsia"/>
                <w:sz w:val="21"/>
                <w:szCs w:val="21"/>
              </w:rPr>
              <w:t>影像阅片模块</w:t>
            </w: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支持Dicom模式查看影像</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需支持调节图像窗宽窗位；支持一键选择常用窗宽窗位，如头部、肺部、胸部、心脏、腹部、肝脏、骨骼等；支持反色功能；</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支持影像基本操作</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Dicom模式下，对于数量≥50张的序列，检查类型为CT/MR/PET的影像可实现MPR重建功能</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MPR重建后，支持选中图像切换方向，包含矢状位、冠状位、轴状位</w:t>
            </w:r>
          </w:p>
        </w:tc>
      </w:tr>
      <w:tr>
        <w:tblPrEx>
          <w:tblCellMar>
            <w:top w:w="0" w:type="dxa"/>
            <w:left w:w="108" w:type="dxa"/>
            <w:bottom w:w="0" w:type="dxa"/>
            <w:right w:w="108" w:type="dxa"/>
          </w:tblCellMar>
        </w:tblPrEx>
        <w:trPr>
          <w:trHeight w:val="340" w:hRule="atLeast"/>
          <w:jc w:val="center"/>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p>
        </w:tc>
        <w:tc>
          <w:tcPr>
            <w:tcW w:w="7241" w:type="dxa"/>
            <w:tcBorders>
              <w:top w:val="nil"/>
              <w:left w:val="nil"/>
              <w:bottom w:val="single" w:color="auto" w:sz="4" w:space="0"/>
              <w:right w:val="single" w:color="auto" w:sz="4" w:space="0"/>
            </w:tcBorders>
            <w:shd w:val="clear" w:color="000000" w:fill="FFFFFF"/>
            <w:noWrap/>
            <w:vAlign w:val="center"/>
          </w:tcPr>
          <w:p>
            <w:pPr>
              <w:rPr>
                <w:rFonts w:hint="eastAsia"/>
                <w:sz w:val="21"/>
                <w:szCs w:val="21"/>
              </w:rPr>
            </w:pPr>
            <w:r>
              <w:rPr>
                <w:rFonts w:hint="eastAsia"/>
                <w:sz w:val="21"/>
                <w:szCs w:val="21"/>
              </w:rPr>
              <w:t>MPR重建后，支持快速切换层厚的功能，包含MIP、MipIP、AvgIP、0.1mm、0.5mm、1mm、20mm、40mm、80mm、160mm</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备AI实施及落地能力，未来根据院方需求可快速部署上线人工智能筛查模块，如：CT肺结节辅助诊断、CT肺炎影像辅助诊断、CT肋骨骨折辅助诊断、CT骨密度辅助诊断、CT组织分析辅助诊断、CT肝脏病变辅助诊断、肺结核X射线图像辅助筛查、DR骨折辅助诊断、MR前列腺癌辅助诊断、MR胰腺癌辅助诊断、MR直肠癌辅助诊断、乳腺钼靶辅助诊断、B型主动脉夹层精准诊疗产品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具备数据治理及影像科研领域相关实施落地能力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存储时长：按照重庆市卫健委要求，提供至少15年的原始Dicom影像数据云存储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▲渝康健对接：需实现渝康健应用管理系统的对接，居民通过官方实名认证，可快速授权登录，为患者提供安全便捷的医学影像图像和报告查询服务。</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sz w:val="24"/>
          <w:szCs w:val="24"/>
        </w:rPr>
      </w:pPr>
      <w:r>
        <w:rPr>
          <w:rFonts w:hint="eastAsia" w:ascii="宋体" w:hAnsi="宋体" w:cs="宋体"/>
          <w:b/>
          <w:bCs/>
          <w:sz w:val="24"/>
          <w:szCs w:val="24"/>
        </w:rPr>
        <w:t>四、评分说明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1、不接受联合体参与。</w:t>
            </w:r>
          </w:p>
          <w:p>
            <w:pPr>
              <w:pStyle w:val="7"/>
            </w:pPr>
            <w:r>
              <w:rPr>
                <w:rFonts w:hint="eastAsia" w:cs="Times New Roman" w:asciiTheme="minorEastAsia" w:hAnsiTheme="minorEastAsia" w:eastAsiaTheme="minorEastAsia"/>
                <w:sz w:val="21"/>
                <w:szCs w:val="21"/>
              </w:rPr>
              <w:t>2、现场查看签字确认表响应人签字</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562"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984"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984"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3</w:t>
            </w:r>
          </w:p>
        </w:tc>
        <w:tc>
          <w:tcPr>
            <w:tcW w:w="1562" w:type="dxa"/>
            <w:vAlign w:val="center"/>
          </w:tcPr>
          <w:p>
            <w:pPr>
              <w:spacing w:line="320" w:lineRule="exac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响应文件响应</w:t>
            </w:r>
          </w:p>
          <w:p>
            <w:pPr>
              <w:spacing w:line="320" w:lineRule="exact"/>
              <w:rPr>
                <w:rFonts w:cs="宋体" w:asciiTheme="minorEastAsia" w:hAnsiTheme="minorEastAsia" w:eastAsiaTheme="minorEastAsia"/>
                <w:color w:val="auto"/>
                <w:kern w:val="0"/>
              </w:rPr>
            </w:pPr>
            <w:r>
              <w:rPr>
                <w:rFonts w:hint="eastAsia" w:ascii="宋体" w:hAnsi="宋体" w:eastAsia="宋体" w:cs="宋体"/>
                <w:color w:val="auto"/>
                <w:kern w:val="0"/>
                <w:lang w:val="en-US" w:eastAsia="zh-CN"/>
              </w:rPr>
              <w:t>程度</w:t>
            </w:r>
          </w:p>
        </w:tc>
        <w:tc>
          <w:tcPr>
            <w:tcW w:w="1984" w:type="dxa"/>
            <w:vAlign w:val="center"/>
          </w:tcPr>
          <w:p>
            <w:pPr>
              <w:spacing w:line="320" w:lineRule="exact"/>
              <w:rPr>
                <w:rFonts w:cs="仿宋_GB2312" w:asciiTheme="minorEastAsia" w:hAnsiTheme="minorEastAsia" w:eastAsiaTheme="minorEastAsia"/>
                <w:color w:val="auto"/>
                <w:lang w:val="zh-CN"/>
              </w:rPr>
            </w:pPr>
            <w:r>
              <w:rPr>
                <w:rFonts w:hint="eastAsia" w:cs="仿宋_GB2312" w:asciiTheme="minorEastAsia" w:hAnsiTheme="minorEastAsia" w:eastAsiaTheme="minorEastAsia"/>
                <w:color w:val="auto"/>
                <w:lang w:val="zh-CN"/>
              </w:rPr>
              <w:t>响应文件内容</w:t>
            </w:r>
          </w:p>
        </w:tc>
        <w:tc>
          <w:tcPr>
            <w:tcW w:w="5108" w:type="dxa"/>
            <w:vAlign w:val="center"/>
          </w:tcPr>
          <w:p>
            <w:pPr>
              <w:spacing w:line="320" w:lineRule="exact"/>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第二章项目相关要求作出响应</w:t>
            </w:r>
          </w:p>
        </w:tc>
      </w:tr>
    </w:tbl>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w:t>
      </w:r>
      <w:r>
        <w:rPr>
          <w:rFonts w:hint="eastAsia" w:ascii="宋体" w:hAnsi="宋体" w:cs="宋体"/>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hint="eastAsia" w:ascii="宋体" w:hAnsi="宋体" w:cs="宋体"/>
          <w:sz w:val="24"/>
          <w:szCs w:val="24"/>
        </w:rPr>
        <w:t>。凡参加本次比选的响应人均被视为接受上述项目的比选条款。</w:t>
      </w:r>
    </w:p>
    <w:p>
      <w:pPr>
        <w:spacing w:line="420" w:lineRule="exact"/>
        <w:ind w:firstLine="480" w:firstLineChars="200"/>
        <w:rPr>
          <w:rFonts w:ascii="宋体" w:hAnsi="宋体" w:cs="宋体"/>
          <w:color w:val="262626"/>
          <w:sz w:val="24"/>
          <w:szCs w:val="24"/>
        </w:rPr>
      </w:pPr>
      <w:r>
        <w:rPr>
          <w:rFonts w:hint="eastAsia" w:ascii="宋体" w:hAnsi="宋体" w:cs="宋体"/>
          <w:color w:val="262626"/>
          <w:sz w:val="24"/>
          <w:szCs w:val="24"/>
        </w:rPr>
        <w:t>3．评分说明：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(总分1OO分)</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78</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22</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78</w:t>
            </w:r>
            <w:r>
              <w:rPr>
                <w:rFonts w:hint="eastAsia" w:asciiTheme="minorEastAsia" w:hAnsiTheme="minorEastAsia" w:eastAsiaTheme="minorEastAsia" w:cstheme="minorEastAsia"/>
                <w:sz w:val="21"/>
                <w:szCs w:val="21"/>
              </w:rPr>
              <w:t>分）</w:t>
            </w:r>
          </w:p>
        </w:tc>
        <w:tc>
          <w:tcPr>
            <w:tcW w:w="7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lang w:val="en-US" w:eastAsia="zh-CN"/>
              </w:rPr>
            </w:pPr>
            <w:r>
              <w:rPr>
                <w:rFonts w:hint="eastAsia"/>
                <w:lang w:val="en-US" w:eastAsia="zh-CN"/>
              </w:rPr>
              <w:t>1、技术要求（50分）</w:t>
            </w:r>
          </w:p>
          <w:p>
            <w:pPr>
              <w:spacing w:line="360" w:lineRule="exact"/>
              <w:jc w:val="left"/>
            </w:pPr>
            <w:r>
              <w:rPr>
                <w:rFonts w:hint="eastAsia"/>
              </w:rPr>
              <w:t>响应人应对技术要求指标逐一应对。响应人应提供相关证明材料，未能提供有效证明的，该条技术指标应认定为不满足。</w:t>
            </w:r>
          </w:p>
          <w:p>
            <w:pPr>
              <w:spacing w:line="360" w:lineRule="exact"/>
              <w:jc w:val="left"/>
            </w:pPr>
            <w:r>
              <w:rPr>
                <w:rFonts w:hint="eastAsia"/>
              </w:rPr>
              <w:t>所有技术要求完全满足比选文件要求得</w:t>
            </w:r>
            <w:r>
              <w:rPr>
                <w:rFonts w:hint="eastAsia"/>
                <w:lang w:val="en-US" w:eastAsia="zh-CN"/>
              </w:rPr>
              <w:t>50</w:t>
            </w:r>
            <w:r>
              <w:rPr>
                <w:rFonts w:hint="eastAsia"/>
              </w:rPr>
              <w:t>分，任何一项带▲为重要技术参数，一项不满足将扣5分，</w:t>
            </w:r>
            <w:r>
              <w:rPr>
                <w:rFonts w:hint="eastAsia"/>
                <w:lang w:val="en-US" w:eastAsia="zh-CN"/>
              </w:rPr>
              <w:t>非</w:t>
            </w:r>
            <w:r>
              <w:rPr>
                <w:rFonts w:hint="eastAsia"/>
              </w:rPr>
              <w:t>▲</w:t>
            </w:r>
            <w:r>
              <w:rPr>
                <w:rFonts w:hint="eastAsia"/>
                <w:lang w:val="en-US" w:eastAsia="zh-CN"/>
              </w:rPr>
              <w:t>项为一般技术参数，不满足将扣1分，</w:t>
            </w:r>
            <w:r>
              <w:rPr>
                <w:rFonts w:hint="eastAsia"/>
              </w:rPr>
              <w:t>扣完为止。响应人虚假响应按作废处理并承担相应的责任。</w:t>
            </w:r>
          </w:p>
          <w:p>
            <w:pPr>
              <w:spacing w:line="360" w:lineRule="exact"/>
              <w:jc w:val="left"/>
            </w:pPr>
            <w:r>
              <w:rPr>
                <w:rFonts w:hint="eastAsia"/>
              </w:rPr>
              <w:t>2、根据</w:t>
            </w:r>
            <w:r>
              <w:rPr>
                <w:rFonts w:hint="eastAsia"/>
                <w:lang w:val="en-US" w:eastAsia="zh-CN"/>
              </w:rPr>
              <w:t>响应</w:t>
            </w:r>
            <w:r>
              <w:rPr>
                <w:rFonts w:hint="eastAsia"/>
              </w:rPr>
              <w:t>人所投产品制造商是否具备软件著作权情况，由</w:t>
            </w:r>
            <w:r>
              <w:rPr>
                <w:rFonts w:hint="eastAsia"/>
                <w:lang w:val="en-US" w:eastAsia="zh-CN"/>
              </w:rPr>
              <w:t>评审小组</w:t>
            </w:r>
            <w:r>
              <w:rPr>
                <w:rFonts w:hint="eastAsia"/>
              </w:rPr>
              <w:t xml:space="preserve">按以下标准打分： </w:t>
            </w:r>
          </w:p>
          <w:p>
            <w:pPr>
              <w:spacing w:line="360" w:lineRule="exact"/>
              <w:jc w:val="left"/>
            </w:pPr>
            <w:r>
              <w:rPr>
                <w:rFonts w:hint="eastAsia"/>
              </w:rPr>
              <w:t>(1)“临床影像集成服务平台”相关软件著作权；</w:t>
            </w:r>
          </w:p>
          <w:p>
            <w:pPr>
              <w:spacing w:line="360" w:lineRule="exact"/>
              <w:jc w:val="left"/>
            </w:pPr>
            <w:r>
              <w:rPr>
                <w:rFonts w:hint="eastAsia"/>
              </w:rPr>
              <w:t>(2)“医学影像移动端”相关软件著作权；</w:t>
            </w:r>
          </w:p>
          <w:p>
            <w:pPr>
              <w:spacing w:line="360" w:lineRule="exact"/>
              <w:jc w:val="left"/>
            </w:pPr>
            <w:r>
              <w:rPr>
                <w:rFonts w:hint="eastAsia"/>
              </w:rPr>
              <w:t>(3)“医学影像 Web服务”相关软件著作权；</w:t>
            </w:r>
          </w:p>
          <w:p>
            <w:pPr>
              <w:spacing w:line="360" w:lineRule="exact"/>
              <w:jc w:val="left"/>
            </w:pPr>
            <w:r>
              <w:rPr>
                <w:rFonts w:hint="eastAsia"/>
              </w:rPr>
              <w:t>(4)“数字智能胶片”相关软件著作权；</w:t>
            </w:r>
          </w:p>
          <w:p>
            <w:pPr>
              <w:spacing w:line="360" w:lineRule="exact"/>
              <w:jc w:val="left"/>
            </w:pPr>
            <w:r>
              <w:rPr>
                <w:rFonts w:hint="eastAsia"/>
              </w:rPr>
              <w:t>(5)“数据隐私管理”相关软件著作权；</w:t>
            </w:r>
          </w:p>
          <w:p>
            <w:pPr>
              <w:spacing w:line="360" w:lineRule="exact"/>
              <w:jc w:val="left"/>
              <w:rPr>
                <w:rFonts w:hint="default" w:eastAsia="宋体"/>
                <w:lang w:val="en-US" w:eastAsia="zh-CN"/>
              </w:rPr>
            </w:pPr>
            <w:r>
              <w:rPr>
                <w:rFonts w:hint="eastAsia"/>
                <w:lang w:val="en-US" w:eastAsia="zh-CN"/>
              </w:rPr>
              <w:t>每提供一项得2分，最高得10分。</w:t>
            </w:r>
          </w:p>
          <w:p>
            <w:pPr>
              <w:spacing w:line="360" w:lineRule="exact"/>
              <w:jc w:val="left"/>
            </w:pPr>
            <w:r>
              <w:rPr>
                <w:rFonts w:hint="eastAsia"/>
              </w:rPr>
              <w:t>本项须提供相关证书复印件并加盖</w:t>
            </w:r>
            <w:r>
              <w:rPr>
                <w:rFonts w:hint="eastAsia"/>
                <w:lang w:val="en-US" w:eastAsia="zh-CN"/>
              </w:rPr>
              <w:t>响应人</w:t>
            </w:r>
            <w:r>
              <w:rPr>
                <w:rFonts w:hint="eastAsia"/>
              </w:rPr>
              <w:t>公章，各相关软件著作权不重复计分。</w:t>
            </w:r>
          </w:p>
          <w:p>
            <w:pPr>
              <w:spacing w:line="360" w:lineRule="exact"/>
              <w:jc w:val="left"/>
            </w:pPr>
            <w:r>
              <w:rPr>
                <w:rFonts w:hint="eastAsia"/>
              </w:rPr>
              <w:t>3、</w:t>
            </w:r>
            <w:r>
              <w:rPr>
                <w:rFonts w:hint="eastAsia"/>
                <w:lang w:val="en-US" w:eastAsia="zh-CN"/>
              </w:rPr>
              <w:t>响应</w:t>
            </w:r>
            <w:r>
              <w:rPr>
                <w:rFonts w:hint="eastAsia"/>
              </w:rPr>
              <w:t>人所投产品支持基于WEB的B/S架构 ，且服务端可支持基于Linux核心的操作系统和基于分布式文件存储的数据库。</w:t>
            </w:r>
          </w:p>
          <w:p>
            <w:pPr>
              <w:spacing w:line="360" w:lineRule="exact"/>
              <w:jc w:val="left"/>
            </w:pPr>
            <w:r>
              <w:rPr>
                <w:rFonts w:hint="eastAsia"/>
              </w:rPr>
              <w:t>须提供书面承诺书原件的扫描件上传及软件界面截图并加盖</w:t>
            </w:r>
            <w:r>
              <w:rPr>
                <w:rFonts w:hint="eastAsia"/>
                <w:lang w:val="en-US" w:eastAsia="zh-CN"/>
              </w:rPr>
              <w:t>响应人</w:t>
            </w:r>
            <w:r>
              <w:rPr>
                <w:rFonts w:hint="eastAsia"/>
              </w:rPr>
              <w:t>公章，提供完全得3分，未提供或提供不全的不得分。</w:t>
            </w:r>
          </w:p>
          <w:p>
            <w:pPr>
              <w:spacing w:line="360" w:lineRule="exact"/>
              <w:jc w:val="left"/>
              <w:rPr>
                <w:rFonts w:hint="eastAsia"/>
                <w:lang w:val="en-US" w:eastAsia="zh-CN"/>
              </w:rPr>
            </w:pPr>
            <w:r>
              <w:rPr>
                <w:rFonts w:hint="eastAsia"/>
              </w:rPr>
              <w:t>4、技术方案</w:t>
            </w:r>
            <w:r>
              <w:rPr>
                <w:rFonts w:hint="eastAsia"/>
                <w:lang w:eastAsia="zh-CN"/>
              </w:rPr>
              <w:t>（</w:t>
            </w:r>
            <w:r>
              <w:rPr>
                <w:rFonts w:hint="eastAsia"/>
                <w:lang w:val="en-US" w:eastAsia="zh-CN"/>
              </w:rPr>
              <w:t>9分）</w:t>
            </w:r>
            <w:r>
              <w:rPr>
                <w:rFonts w:hint="eastAsia"/>
              </w:rPr>
              <w:t>，</w:t>
            </w:r>
            <w:r>
              <w:rPr>
                <w:rFonts w:hint="eastAsia"/>
                <w:lang w:val="en-US" w:eastAsia="zh-CN"/>
              </w:rPr>
              <w:t>包含但不限于</w:t>
            </w:r>
            <w:r>
              <w:rPr>
                <w:rFonts w:hint="eastAsia"/>
              </w:rPr>
              <w:t>技术架构、产品解决方案、数据安全</w:t>
            </w:r>
            <w:r>
              <w:rPr>
                <w:rFonts w:hint="eastAsia"/>
                <w:lang w:val="en-US" w:eastAsia="zh-CN"/>
              </w:rPr>
              <w:t>及具体</w:t>
            </w:r>
            <w:r>
              <w:rPr>
                <w:rFonts w:hint="eastAsia"/>
              </w:rPr>
              <w:t>实施方案。</w:t>
            </w:r>
            <w:r>
              <w:rPr>
                <w:rFonts w:hint="eastAsia"/>
                <w:lang w:val="en-US" w:eastAsia="zh-CN"/>
              </w:rPr>
              <w:t>评审小组依据响应人提供的技术方案进行评审。</w:t>
            </w:r>
          </w:p>
          <w:p>
            <w:pPr>
              <w:spacing w:line="360" w:lineRule="exact"/>
              <w:jc w:val="left"/>
              <w:rPr>
                <w:rFonts w:hint="default" w:eastAsia="宋体"/>
                <w:color w:val="auto"/>
                <w:lang w:val="en-US" w:eastAsia="zh-CN"/>
              </w:rPr>
            </w:pPr>
            <w:r>
              <w:rPr>
                <w:rFonts w:hint="eastAsia"/>
                <w:lang w:val="en-US" w:eastAsia="zh-CN"/>
              </w:rPr>
              <w:t>优</w:t>
            </w:r>
            <w:r>
              <w:rPr>
                <w:rFonts w:hint="eastAsia"/>
                <w:color w:val="auto"/>
                <w:lang w:val="en-US" w:eastAsia="zh-CN"/>
              </w:rPr>
              <w:t>得7-9分，良得4-6分，一般得1-3分，差或未提供不得分。</w:t>
            </w:r>
          </w:p>
          <w:p>
            <w:pPr>
              <w:spacing w:line="360" w:lineRule="exact"/>
              <w:jc w:val="left"/>
              <w:rPr>
                <w:rFonts w:hint="eastAsia" w:ascii="Calibri" w:eastAsia="宋体"/>
                <w:lang w:val="en-US" w:eastAsia="zh-CN"/>
              </w:rPr>
            </w:pPr>
            <w:r>
              <w:rPr>
                <w:rFonts w:hint="eastAsia" w:asciiTheme="minorEastAsia" w:hAnsiTheme="minorEastAsia" w:eastAsiaTheme="minorEastAsia" w:cstheme="minorEastAsia"/>
                <w:color w:val="auto"/>
              </w:rPr>
              <w:t>5、培训方案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6分）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包含但不限于</w:t>
            </w:r>
            <w:r>
              <w:rPr>
                <w:rFonts w:hint="eastAsia" w:asciiTheme="minorEastAsia" w:hAnsiTheme="minorEastAsia" w:eastAsiaTheme="minorEastAsia" w:cstheme="minorEastAsia"/>
                <w:color w:val="auto"/>
              </w:rPr>
              <w:t>患者获取方式培训、患者引导培训、科室培训、物料培训等内容。</w:t>
            </w:r>
            <w:r>
              <w:rPr>
                <w:rFonts w:hint="eastAsia" w:ascii="Calibri" w:eastAsia="宋体"/>
                <w:color w:val="auto"/>
                <w:lang w:val="en-US" w:eastAsia="zh-CN"/>
              </w:rPr>
              <w:t>评审小组依据响应人提供的技术方案进行评审</w:t>
            </w:r>
            <w:r>
              <w:rPr>
                <w:rFonts w:hint="eastAsia" w:ascii="Calibri" w:eastAsia="宋体"/>
                <w:lang w:val="en-US" w:eastAsia="zh-CN"/>
              </w:rPr>
              <w:t>。</w:t>
            </w:r>
          </w:p>
          <w:p>
            <w:pPr>
              <w:spacing w:line="360" w:lineRule="exact"/>
              <w:jc w:val="left"/>
              <w:rPr>
                <w:rFonts w:hint="eastAsia"/>
                <w:lang w:val="en-US" w:eastAsia="zh-CN"/>
              </w:rPr>
            </w:pPr>
            <w:r>
              <w:rPr>
                <w:rFonts w:hint="eastAsia" w:ascii="Times New Roman" w:eastAsia="宋体"/>
                <w:lang w:val="en-US" w:eastAsia="zh-CN"/>
              </w:rPr>
              <w:t>优得</w:t>
            </w:r>
            <w:r>
              <w:rPr>
                <w:rFonts w:hint="eastAsia"/>
                <w:lang w:val="en-US" w:eastAsia="zh-CN"/>
              </w:rPr>
              <w:t>5-6分</w:t>
            </w:r>
            <w:r>
              <w:rPr>
                <w:rFonts w:hint="eastAsia" w:ascii="Times New Roman" w:eastAsia="宋体"/>
                <w:lang w:val="en-US" w:eastAsia="zh-CN"/>
              </w:rPr>
              <w:t>，良得</w:t>
            </w:r>
            <w:r>
              <w:rPr>
                <w:rFonts w:hint="eastAsia"/>
                <w:lang w:val="en-US" w:eastAsia="zh-CN"/>
              </w:rPr>
              <w:t>3-4分</w:t>
            </w:r>
            <w:r>
              <w:rPr>
                <w:rFonts w:hint="eastAsia" w:ascii="Times New Roman" w:eastAsia="宋体"/>
                <w:lang w:val="en-US" w:eastAsia="zh-CN"/>
              </w:rPr>
              <w:t>，一般得</w:t>
            </w:r>
            <w:r>
              <w:rPr>
                <w:rFonts w:hint="eastAsia"/>
                <w:lang w:val="en-US" w:eastAsia="zh-CN"/>
              </w:rPr>
              <w:t>1-2分</w:t>
            </w:r>
            <w:r>
              <w:rPr>
                <w:rFonts w:hint="eastAsia" w:ascii="Times New Roman" w:eastAsia="宋体"/>
                <w:lang w:val="en-US" w:eastAsia="zh-CN"/>
              </w:rPr>
              <w:t>，差或未提供不得分。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分）</w:t>
            </w:r>
          </w:p>
        </w:tc>
        <w:tc>
          <w:tcPr>
            <w:tcW w:w="7740" w:type="dxa"/>
            <w:vAlign w:val="center"/>
          </w:tcPr>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1、企业能力</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4分）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响应人</w:t>
            </w:r>
            <w:r>
              <w:rPr>
                <w:rFonts w:hint="eastAsia" w:asciiTheme="minorEastAsia" w:hAnsiTheme="minorEastAsia" w:eastAsiaTheme="minorEastAsia" w:cstheme="minorEastAsia"/>
                <w:color w:val="auto"/>
              </w:rPr>
              <w:t>或所投产品制造商具备软件企业证书、高新技术企业证书，每提供一个得2分，共计4分，未提供不得分。</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2、体系认证证书</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5分）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人或所投产品制造商具备</w:t>
            </w:r>
          </w:p>
          <w:p>
            <w:pPr>
              <w:spacing w:line="360" w:lineRule="exact"/>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ISO9001质量管理体系认证证书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ISO20000信息技术服务管理体系认证证书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ISO27001信息安全管理体系认证书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ISO13485质量管理体系认证证书</w:t>
            </w:r>
          </w:p>
          <w:p>
            <w:pPr>
              <w:spacing w:line="3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14001/45001体系认证证书</w:t>
            </w:r>
          </w:p>
          <w:p>
            <w:pPr>
              <w:spacing w:line="360" w:lineRule="exac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每提供1个得1分，最高得5分。</w:t>
            </w:r>
          </w:p>
          <w:p>
            <w:pPr>
              <w:spacing w:line="360" w:lineRule="exact"/>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r>
              <w:rPr>
                <w:rFonts w:hint="eastAsia" w:asciiTheme="minorEastAsia" w:hAnsiTheme="minorEastAsia" w:eastAsiaTheme="minorEastAsia" w:cstheme="minorEastAsia"/>
                <w:color w:val="auto"/>
                <w:lang w:eastAsia="zh-CN"/>
              </w:rPr>
              <w:t>。</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3、安全能力</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4分）</w:t>
            </w:r>
            <w:r>
              <w:rPr>
                <w:rFonts w:hint="eastAsia" w:asciiTheme="minorEastAsia" w:hAnsiTheme="minorEastAsia" w:eastAsiaTheme="minorEastAsia" w:cstheme="minorEastAsia"/>
                <w:color w:val="auto"/>
              </w:rPr>
              <w:t>：所投产品制造商需具备如下证书</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（1）“医学影像大数据云平台”</w:t>
            </w:r>
            <w:r>
              <w:rPr>
                <w:rFonts w:hint="eastAsia" w:asciiTheme="minorEastAsia" w:hAnsiTheme="minorEastAsia" w:eastAsiaTheme="minorEastAsia" w:cstheme="minorEastAsia"/>
                <w:color w:val="auto"/>
                <w:lang w:val="en-US" w:eastAsia="zh-CN"/>
              </w:rPr>
              <w:t>相关或类似</w:t>
            </w:r>
            <w:r>
              <w:rPr>
                <w:rFonts w:hint="eastAsia" w:asciiTheme="minorEastAsia" w:hAnsiTheme="minorEastAsia" w:eastAsiaTheme="minorEastAsia" w:cstheme="minorEastAsia"/>
                <w:color w:val="auto"/>
              </w:rPr>
              <w:t>信息系统</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医疗云计算可信选型证书；</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（2）“数字智能胶片及影像云管理系统”</w:t>
            </w:r>
            <w:r>
              <w:rPr>
                <w:rFonts w:hint="eastAsia" w:asciiTheme="minorEastAsia" w:hAnsiTheme="minorEastAsia" w:eastAsiaTheme="minorEastAsia" w:cstheme="minorEastAsia"/>
                <w:color w:val="auto"/>
                <w:lang w:val="en-US" w:eastAsia="zh-CN"/>
              </w:rPr>
              <w:t>相关或类似</w:t>
            </w:r>
            <w:r>
              <w:rPr>
                <w:rFonts w:hint="eastAsia" w:asciiTheme="minorEastAsia" w:hAnsiTheme="minorEastAsia" w:eastAsiaTheme="minorEastAsia" w:cstheme="minorEastAsia"/>
                <w:color w:val="auto"/>
              </w:rPr>
              <w:t>信息系统</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安全等级保护三级证书及近三年网络安全等级保护测评报告。</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每提供一个得2分，共计4分，未提供不得分。</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4、CMMI能力成熟度模型集成3级认证；得</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分，未提供不得分。</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注：本项须提供相关证书复印件并加盖</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人公章</w:t>
            </w:r>
          </w:p>
          <w:p>
            <w:pPr>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6、业绩：2020年以来类似项目业绩，提供中标通知书</w:t>
            </w:r>
            <w:r>
              <w:rPr>
                <w:rFonts w:hint="eastAsia" w:asciiTheme="minorEastAsia" w:hAnsiTheme="minorEastAsia" w:eastAsiaTheme="minorEastAsia" w:cstheme="minorEastAsia"/>
                <w:color w:val="auto"/>
                <w:lang w:val="en-US" w:eastAsia="zh-CN"/>
              </w:rPr>
              <w:t>或</w:t>
            </w:r>
            <w:r>
              <w:rPr>
                <w:rFonts w:hint="eastAsia" w:asciiTheme="minorEastAsia" w:hAnsiTheme="minorEastAsia" w:eastAsiaTheme="minorEastAsia" w:cstheme="minorEastAsia"/>
                <w:color w:val="auto"/>
              </w:rPr>
              <w:t>供货合同复印件并加盖公章，</w:t>
            </w:r>
            <w:r>
              <w:rPr>
                <w:rFonts w:hint="eastAsia" w:asciiTheme="minorEastAsia" w:hAnsiTheme="minorEastAsia" w:eastAsiaTheme="minorEastAsia" w:cstheme="minorEastAsia"/>
                <w:color w:val="auto"/>
                <w:lang w:val="en-US" w:eastAsia="zh-CN"/>
              </w:rPr>
              <w:t>每提供1个得</w:t>
            </w:r>
            <w:r>
              <w:rPr>
                <w:rFonts w:hint="eastAsia" w:asciiTheme="minorEastAsia" w:hAnsiTheme="minorEastAsia" w:eastAsiaTheme="minorEastAsia" w:cstheme="minorEastAsia"/>
                <w:color w:val="auto"/>
              </w:rPr>
              <w:t>1分，最高得5分。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rPr>
              <w:t>说明：同一业绩不重复计算得分。</w:t>
            </w:r>
          </w:p>
        </w:tc>
      </w:tr>
    </w:tbl>
    <w:p>
      <w:pPr>
        <w:spacing w:line="420" w:lineRule="exact"/>
        <w:ind w:firstLine="482" w:firstLineChars="200"/>
        <w:rPr>
          <w:rFonts w:ascii="宋体" w:hAnsi="宋体" w:cs="宋体"/>
          <w:b/>
          <w:bCs/>
          <w:sz w:val="24"/>
          <w:szCs w:val="24"/>
        </w:rPr>
      </w:pPr>
      <w:r>
        <w:rPr>
          <w:rFonts w:hint="eastAsia" w:ascii="宋体" w:hAnsi="宋体" w:cs="宋体"/>
          <w:b/>
          <w:bCs/>
          <w:sz w:val="24"/>
          <w:szCs w:val="24"/>
        </w:rPr>
        <w:t>五、响应人不足的情形</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六、比选有效期</w:t>
      </w:r>
      <w:r>
        <w:rPr>
          <w:rFonts w:hint="eastAsia" w:ascii="宋体" w:hAnsi="宋体" w:cs="宋体"/>
          <w:sz w:val="24"/>
          <w:szCs w:val="24"/>
        </w:rPr>
        <w:t>：</w:t>
      </w:r>
      <w:r>
        <w:rPr>
          <w:rFonts w:hint="eastAsia" w:ascii="宋体" w:hAnsi="宋体" w:cs="宋体"/>
          <w:sz w:val="24"/>
          <w:szCs w:val="24"/>
          <w:lang w:val="en-US" w:eastAsia="zh-CN"/>
        </w:rPr>
        <w:t>90</w:t>
      </w:r>
      <w:r>
        <w:rPr>
          <w:rFonts w:hint="eastAsia" w:ascii="宋体" w:hAnsi="宋体" w:cs="宋体"/>
          <w:sz w:val="24"/>
          <w:szCs w:val="24"/>
        </w:rPr>
        <w:t>日历天。（从提交响应文件截止日起计算）</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资质部分；</w:t>
      </w:r>
    </w:p>
    <w:p>
      <w:pPr>
        <w:spacing w:line="420" w:lineRule="exact"/>
        <w:ind w:firstLine="480" w:firstLineChars="200"/>
        <w:rPr>
          <w:rFonts w:ascii="宋体" w:hAnsi="宋体"/>
          <w:sz w:val="24"/>
          <w:szCs w:val="24"/>
        </w:rPr>
      </w:pPr>
      <w:r>
        <w:rPr>
          <w:rFonts w:hint="eastAsia" w:ascii="宋体" w:hAnsi="宋体"/>
          <w:sz w:val="24"/>
          <w:szCs w:val="24"/>
        </w:rPr>
        <w:t>商务部分；</w:t>
      </w:r>
    </w:p>
    <w:p>
      <w:pPr>
        <w:spacing w:line="420" w:lineRule="exact"/>
        <w:ind w:firstLine="480" w:firstLineChars="200"/>
        <w:rPr>
          <w:rFonts w:ascii="宋体" w:hAnsi="宋体"/>
          <w:sz w:val="24"/>
          <w:szCs w:val="24"/>
        </w:rPr>
      </w:pPr>
      <w:r>
        <w:rPr>
          <w:rFonts w:hint="eastAsia" w:ascii="宋体" w:hAnsi="宋体"/>
          <w:sz w:val="24"/>
          <w:szCs w:val="24"/>
        </w:rPr>
        <w:t>技术部分；</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40" w:lineRule="exact"/>
        <w:ind w:firstLine="482" w:firstLineChars="200"/>
        <w:rPr>
          <w:rFonts w:ascii="宋体"/>
          <w:color w:val="000000"/>
          <w:sz w:val="24"/>
          <w:szCs w:val="24"/>
        </w:rPr>
      </w:pP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tabs>
          <w:tab w:val="left" w:pos="1080"/>
        </w:tabs>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、若响应人提供虚假材料将按作废处理。</w:t>
      </w:r>
    </w:p>
    <w:p>
      <w:pPr>
        <w:spacing w:line="420" w:lineRule="exact"/>
        <w:ind w:firstLine="482" w:firstLineChars="200"/>
        <w:rPr>
          <w:rFonts w:ascii="宋体" w:cs="宋体"/>
          <w:b/>
          <w:bCs/>
          <w:sz w:val="24"/>
          <w:szCs w:val="24"/>
        </w:rPr>
      </w:pPr>
    </w:p>
    <w:p>
      <w:pPr>
        <w:spacing w:line="420" w:lineRule="exact"/>
        <w:rPr>
          <w:rFonts w:ascii="宋体" w:hAnsi="宋体" w:cs="宋体"/>
          <w:b/>
          <w:bCs/>
          <w:color w:val="000000"/>
          <w:sz w:val="24"/>
          <w:szCs w:val="24"/>
        </w:rPr>
      </w:pPr>
      <w:r>
        <w:rPr>
          <w:rFonts w:hint="eastAsia" w:ascii="宋体" w:hAnsi="宋体" w:cs="宋体"/>
          <w:b/>
          <w:bCs/>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关于医院数字医学影像服务功能改造项目</w:t>
      </w:r>
      <w:r>
        <w:rPr>
          <w:rFonts w:hint="eastAsia" w:asciiTheme="minorEastAsia" w:hAnsiTheme="minorEastAsia" w:eastAsiaTheme="minorEastAsia" w:cstheme="minorEastAsia"/>
          <w:sz w:val="24"/>
          <w:szCs w:val="24"/>
          <w:lang w:val="en-US" w:eastAsia="zh-CN"/>
        </w:rPr>
        <w:t>提前</w:t>
      </w:r>
      <w:r>
        <w:rPr>
          <w:rFonts w:hint="eastAsia" w:asciiTheme="minorEastAsia" w:hAnsiTheme="minorEastAsia" w:eastAsiaTheme="minorEastAsia" w:cstheme="minorEastAsia"/>
          <w:sz w:val="24"/>
          <w:szCs w:val="24"/>
        </w:rPr>
        <w:t>实施函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XXXX</w:t>
      </w:r>
      <w:r>
        <w:rPr>
          <w:rFonts w:hint="eastAsia" w:asciiTheme="minorEastAsia" w:hAnsiTheme="minorEastAsia" w:eastAsiaTheme="minorEastAsia" w:cstheme="minorEastAsia"/>
          <w:sz w:val="24"/>
          <w:szCs w:val="24"/>
        </w:rPr>
        <w:t xml:space="preserve">有限公司：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贵单位作为重庆市医学影像云平台应用服务商，经双方沟通，我院</w:t>
      </w:r>
      <w:r>
        <w:rPr>
          <w:rFonts w:hint="eastAsia" w:asciiTheme="minorEastAsia" w:hAnsiTheme="minorEastAsia" w:eastAsiaTheme="minorEastAsia" w:cstheme="minorEastAsia"/>
          <w:sz w:val="24"/>
          <w:szCs w:val="24"/>
          <w:lang w:val="en-US" w:eastAsia="zh-CN"/>
        </w:rPr>
        <w:t>同意由贵单位完成我院的数字医学影像服务功能改造。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我院按照《关于依托重庆市医学影像云中心全面开展全市医学影像数据接入和数字医学影像服务功能改造的通知》要求完成</w:t>
      </w:r>
      <w:r>
        <w:rPr>
          <w:rFonts w:hint="eastAsia" w:asciiTheme="minorEastAsia" w:hAnsiTheme="minorEastAsia" w:eastAsiaTheme="minorEastAsia" w:cstheme="minorEastAsia"/>
          <w:sz w:val="24"/>
          <w:szCs w:val="24"/>
          <w:lang w:val="en-US" w:eastAsia="zh-CN"/>
        </w:rPr>
        <w:t>数字医学影像服务功能的改造</w:t>
      </w: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val="en-US" w:eastAsia="zh-CN"/>
        </w:rPr>
        <w:t>因时间较为紧张，</w:t>
      </w:r>
      <w:r>
        <w:rPr>
          <w:rFonts w:hint="eastAsia" w:asciiTheme="minorEastAsia" w:hAnsiTheme="minorEastAsia" w:eastAsiaTheme="minorEastAsia" w:cstheme="minorEastAsia"/>
          <w:sz w:val="24"/>
          <w:szCs w:val="24"/>
        </w:rPr>
        <w:t>现请贵公司</w:t>
      </w:r>
      <w:r>
        <w:rPr>
          <w:rFonts w:hint="eastAsia" w:asciiTheme="minorEastAsia" w:hAnsiTheme="minorEastAsia" w:eastAsiaTheme="minorEastAsia" w:cstheme="minorEastAsia"/>
          <w:sz w:val="24"/>
          <w:szCs w:val="24"/>
          <w:lang w:val="en-US" w:eastAsia="zh-CN"/>
        </w:rPr>
        <w:t>提前</w:t>
      </w:r>
      <w:r>
        <w:rPr>
          <w:rFonts w:hint="eastAsia" w:asciiTheme="minorEastAsia" w:hAnsiTheme="minorEastAsia" w:eastAsiaTheme="minorEastAsia" w:cstheme="minorEastAsia"/>
          <w:sz w:val="24"/>
          <w:szCs w:val="24"/>
        </w:rPr>
        <w:t>入场完成项目</w:t>
      </w:r>
      <w:r>
        <w:rPr>
          <w:rFonts w:hint="eastAsia" w:asciiTheme="minorEastAsia" w:hAnsiTheme="minorEastAsia" w:eastAsiaTheme="minorEastAsia" w:cstheme="minorEastAsia"/>
          <w:sz w:val="24"/>
          <w:szCs w:val="24"/>
          <w:lang w:eastAsia="zh-CN"/>
        </w:rPr>
        <w:t>实施，</w:t>
      </w:r>
      <w:r>
        <w:rPr>
          <w:rFonts w:hint="eastAsia" w:asciiTheme="minorEastAsia" w:hAnsiTheme="minorEastAsia" w:eastAsiaTheme="minorEastAsia" w:cstheme="minorEastAsia"/>
          <w:sz w:val="24"/>
          <w:szCs w:val="24"/>
          <w:lang w:val="en-US" w:eastAsia="zh-CN"/>
        </w:rPr>
        <w:t>后期招标按人次收费。本次实施函不作为实际采购时的依据或限制。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后期相关管理部门出台</w:t>
      </w:r>
      <w:r>
        <w:rPr>
          <w:rFonts w:hint="eastAsia" w:asciiTheme="minorEastAsia" w:hAnsiTheme="minorEastAsia" w:eastAsiaTheme="minorEastAsia" w:cstheme="minorEastAsia"/>
          <w:sz w:val="24"/>
          <w:szCs w:val="24"/>
          <w:lang w:val="en-US" w:eastAsia="zh-CN"/>
        </w:rPr>
        <w:t>相关政策后</w:t>
      </w:r>
      <w:r>
        <w:rPr>
          <w:rFonts w:hint="eastAsia" w:asciiTheme="minorEastAsia" w:hAnsiTheme="minorEastAsia" w:eastAsiaTheme="minorEastAsia" w:cstheme="minorEastAsia"/>
          <w:sz w:val="24"/>
          <w:szCs w:val="24"/>
          <w:lang w:eastAsia="zh-CN"/>
        </w:rPr>
        <w:t>（医疗影像云服务、数字影像储存与获取数据的收费政策），</w:t>
      </w:r>
      <w:r>
        <w:rPr>
          <w:rFonts w:hint="eastAsia" w:asciiTheme="minorEastAsia" w:hAnsiTheme="minorEastAsia" w:eastAsiaTheme="minorEastAsia" w:cstheme="minorEastAsia"/>
          <w:sz w:val="24"/>
          <w:szCs w:val="24"/>
          <w:lang w:val="en-US" w:eastAsia="zh-CN"/>
        </w:rPr>
        <w:t>我院将依法依规按相关政策执行。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240" w:firstLineChars="2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6240" w:firstLineChars="2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b/>
          <w:bCs/>
          <w:sz w:val="32"/>
          <w:szCs w:val="32"/>
        </w:rPr>
      </w:pPr>
    </w:p>
    <w:p>
      <w:pPr>
        <w:pStyle w:val="2"/>
      </w:pPr>
    </w:p>
    <w:p>
      <w:pPr>
        <w:pStyle w:val="2"/>
        <w:rPr>
          <w:b/>
          <w:bCs/>
          <w:sz w:val="32"/>
          <w:szCs w:val="32"/>
        </w:rPr>
      </w:pPr>
    </w:p>
    <w:p>
      <w:pPr>
        <w:jc w:val="both"/>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一</w:t>
      </w:r>
      <w:r>
        <w:rPr>
          <w:rFonts w:hint="eastAsia" w:ascii="宋体" w:hAnsi="宋体"/>
          <w:sz w:val="24"/>
          <w:szCs w:val="24"/>
        </w:rPr>
        <w:t>、法定代表人身份证明及授权委托书；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、资质部分；</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、商务部分；</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、技术部分；</w:t>
      </w:r>
    </w:p>
    <w:p>
      <w:pPr>
        <w:spacing w:line="480" w:lineRule="exact"/>
        <w:ind w:firstLine="480" w:firstLineChars="200"/>
        <w:jc w:val="left"/>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）营业执照副本；</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）商务部分；</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）技术部分；</w:t>
      </w:r>
    </w:p>
    <w:p>
      <w:pPr>
        <w:spacing w:line="4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tbl>
      <w:tblPr>
        <w:tblStyle w:val="16"/>
        <w:tblpPr w:leftFromText="180" w:rightFromText="180" w:vertAnchor="text" w:horzAnchor="page" w:tblpX="1836" w:tblpY="201"/>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eastAsia="宋体"/>
                <w:b/>
                <w:bCs/>
                <w:szCs w:val="21"/>
              </w:rPr>
            </w:pPr>
          </w:p>
          <w:p>
            <w:pPr>
              <w:spacing w:line="360" w:lineRule="auto"/>
              <w:rPr>
                <w:rFonts w:eastAsia="宋体"/>
                <w:b/>
                <w:bCs/>
                <w:szCs w:val="21"/>
              </w:rPr>
            </w:pPr>
          </w:p>
          <w:p>
            <w:pPr>
              <w:spacing w:line="360" w:lineRule="auto"/>
              <w:ind w:firstLine="2205" w:firstLineChars="1050"/>
              <w:rPr>
                <w:rFonts w:eastAsia="宋体"/>
                <w:bCs/>
                <w:szCs w:val="21"/>
              </w:rPr>
            </w:pPr>
            <w:r>
              <w:rPr>
                <w:rFonts w:eastAsia="宋体"/>
                <w:bCs/>
                <w:szCs w:val="21"/>
              </w:rPr>
              <w:t>（</w:t>
            </w:r>
            <w:r>
              <w:rPr>
                <w:rFonts w:eastAsia="宋体"/>
                <w:szCs w:val="21"/>
              </w:rPr>
              <w:t>委托代理人身份证</w:t>
            </w:r>
            <w:r>
              <w:rPr>
                <w:rFonts w:eastAsia="宋体"/>
                <w:bCs/>
                <w:szCs w:val="21"/>
              </w:rPr>
              <w:t>复印件）（注：两面均应复印）</w:t>
            </w:r>
          </w:p>
          <w:p>
            <w:pPr>
              <w:tabs>
                <w:tab w:val="left" w:pos="735"/>
              </w:tabs>
              <w:spacing w:line="360" w:lineRule="auto"/>
              <w:rPr>
                <w:rFonts w:eastAsia="宋体"/>
                <w:szCs w:val="21"/>
              </w:rPr>
            </w:pPr>
          </w:p>
          <w:p>
            <w:pPr>
              <w:tabs>
                <w:tab w:val="left" w:pos="735"/>
              </w:tabs>
              <w:spacing w:line="360" w:lineRule="auto"/>
              <w:rPr>
                <w:rFonts w:eastAsia="宋体"/>
                <w:szCs w:val="21"/>
              </w:rPr>
            </w:pPr>
          </w:p>
        </w:tc>
      </w:tr>
    </w:tbl>
    <w:p/>
    <w:p/>
    <w:p/>
    <w:p/>
    <w:p/>
    <w:p/>
    <w:p/>
    <w:p/>
    <w:p/>
    <w:p/>
    <w:p>
      <w:pPr>
        <w:pStyle w:val="2"/>
      </w:pPr>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p>
      <w:pPr>
        <w:rPr>
          <w:rFonts w:ascii="宋体" w:hAnsi="宋体"/>
          <w:vanish/>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tbl>
      <w:tblPr>
        <w:tblStyle w:val="16"/>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eastAsia="宋体"/>
                <w:b/>
                <w:bCs/>
                <w:szCs w:val="21"/>
              </w:rPr>
            </w:pPr>
          </w:p>
          <w:p>
            <w:pPr>
              <w:spacing w:line="360" w:lineRule="auto"/>
              <w:rPr>
                <w:rFonts w:eastAsia="宋体"/>
                <w:b/>
                <w:bCs/>
                <w:szCs w:val="21"/>
              </w:rPr>
            </w:pPr>
          </w:p>
          <w:p>
            <w:pPr>
              <w:spacing w:line="360" w:lineRule="auto"/>
              <w:jc w:val="center"/>
              <w:rPr>
                <w:rFonts w:eastAsia="宋体"/>
                <w:bCs/>
                <w:szCs w:val="21"/>
              </w:rPr>
            </w:pPr>
            <w:r>
              <w:rPr>
                <w:rFonts w:eastAsia="宋体"/>
                <w:bCs/>
                <w:szCs w:val="21"/>
              </w:rPr>
              <w:t>（</w:t>
            </w:r>
            <w:r>
              <w:rPr>
                <w:rFonts w:eastAsia="宋体"/>
                <w:szCs w:val="21"/>
              </w:rPr>
              <w:t>法定代表人身份证</w:t>
            </w:r>
            <w:r>
              <w:rPr>
                <w:rFonts w:eastAsia="宋体"/>
                <w:bCs/>
                <w:szCs w:val="21"/>
              </w:rPr>
              <w:t>复印件）（注：两面均应复印）</w:t>
            </w:r>
          </w:p>
          <w:p>
            <w:pPr>
              <w:spacing w:line="360" w:lineRule="auto"/>
              <w:rPr>
                <w:rFonts w:eastAsia="宋体"/>
                <w:b/>
                <w:bCs/>
                <w:szCs w:val="21"/>
              </w:rPr>
            </w:pPr>
          </w:p>
          <w:p>
            <w:pPr>
              <w:widowControl/>
              <w:spacing w:line="360" w:lineRule="auto"/>
              <w:jc w:val="left"/>
              <w:rPr>
                <w:rFonts w:eastAsia="宋体"/>
                <w:szCs w:val="21"/>
              </w:rPr>
            </w:pPr>
          </w:p>
          <w:p>
            <w:pPr>
              <w:tabs>
                <w:tab w:val="left" w:pos="735"/>
              </w:tabs>
              <w:spacing w:line="360" w:lineRule="auto"/>
              <w:rPr>
                <w:rFonts w:eastAsia="宋体"/>
                <w:szCs w:val="21"/>
              </w:rPr>
            </w:pPr>
          </w:p>
        </w:tc>
      </w:tr>
    </w:tbl>
    <w:p/>
    <w:p/>
    <w:p/>
    <w:p/>
    <w:p/>
    <w:p/>
    <w:p/>
    <w:p/>
    <w:p/>
    <w:p/>
    <w:p/>
    <w:p/>
    <w:p>
      <w:p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ascii="宋体" w:cs="宋体"/>
          <w:sz w:val="24"/>
          <w:szCs w:val="24"/>
        </w:rPr>
      </w:pP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（项目名称）比选文件的全部内容，我方承诺在</w:t>
      </w:r>
      <w:r>
        <w:rPr>
          <w:rFonts w:hint="eastAsia" w:ascii="宋体" w:hAnsi="宋体" w:cs="宋体"/>
          <w:sz w:val="24"/>
          <w:szCs w:val="24"/>
        </w:rPr>
        <w:t>参加采购活动前三年内（指</w:t>
      </w:r>
      <w:r>
        <w:rPr>
          <w:rFonts w:ascii="宋体" w:hAnsi="宋体" w:cs="宋体"/>
          <w:sz w:val="24"/>
          <w:szCs w:val="24"/>
        </w:rPr>
        <w:t>20</w:t>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w:t>
      </w:r>
      <w:r>
        <w:rPr>
          <w:rFonts w:hint="eastAsia" w:ascii="宋体" w:hAnsi="宋体"/>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hint="eastAsia" w:ascii="宋体" w:hAnsi="宋体"/>
          <w:sz w:val="24"/>
          <w:szCs w:val="24"/>
        </w:rPr>
        <w:t>。</w:t>
      </w:r>
      <w:r>
        <w:rPr>
          <w:rFonts w:hint="eastAsia" w:ascii="宋体" w:hAnsi="宋体" w:cs="宋体"/>
          <w:sz w:val="24"/>
          <w:szCs w:val="24"/>
        </w:rPr>
        <w:t>若承诺与实事不符合，愿意承担相应责任。</w:t>
      </w:r>
    </w:p>
    <w:p>
      <w:pPr>
        <w:pStyle w:val="7"/>
        <w:spacing w:line="420" w:lineRule="exact"/>
      </w:pPr>
    </w:p>
    <w:p>
      <w:pPr>
        <w:pStyle w:val="7"/>
        <w:spacing w:line="420" w:lineRule="exact"/>
      </w:pPr>
    </w:p>
    <w:p>
      <w:pPr>
        <w:pStyle w:val="7"/>
        <w:spacing w:line="420" w:lineRule="exact"/>
      </w:pPr>
    </w:p>
    <w:p>
      <w:pPr>
        <w:pStyle w:val="7"/>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7"/>
      </w:pPr>
    </w:p>
    <w:p>
      <w:pPr>
        <w:pStyle w:val="7"/>
      </w:pPr>
    </w:p>
    <w:p>
      <w:pPr>
        <w:spacing w:line="276" w:lineRule="auto"/>
        <w:rPr>
          <w:rFonts w:ascii="宋体" w:hAnsi="宋体" w:cs="宋体"/>
          <w:b/>
          <w:bCs/>
          <w:sz w:val="28"/>
          <w:szCs w:val="28"/>
        </w:rPr>
      </w:pPr>
    </w:p>
    <w:p>
      <w:pPr>
        <w:pStyle w:val="7"/>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六、商务部分；</w:t>
      </w:r>
    </w:p>
    <w:p>
      <w:pPr>
        <w:spacing w:line="276" w:lineRule="auto"/>
        <w:rPr>
          <w:rFonts w:ascii="宋体"/>
          <w:b/>
          <w:bCs/>
          <w:color w:val="000000"/>
          <w:sz w:val="28"/>
          <w:szCs w:val="28"/>
        </w:rPr>
      </w:pPr>
      <w:r>
        <w:rPr>
          <w:rFonts w:hint="eastAsia" w:ascii="宋体"/>
          <w:b/>
          <w:bCs/>
          <w:color w:val="000000"/>
          <w:sz w:val="28"/>
          <w:szCs w:val="28"/>
        </w:rPr>
        <w:t>七、技术部分；</w:t>
      </w:r>
    </w:p>
    <w:p>
      <w:pPr>
        <w:spacing w:line="276" w:lineRule="auto"/>
        <w:rPr>
          <w:rFonts w:ascii="宋体"/>
          <w:b/>
          <w:bCs/>
          <w:color w:val="000000"/>
          <w:sz w:val="28"/>
          <w:szCs w:val="28"/>
        </w:rPr>
      </w:pPr>
      <w:r>
        <w:rPr>
          <w:rFonts w:hint="eastAsia" w:ascii="宋体"/>
          <w:b/>
          <w:bCs/>
          <w:color w:val="000000"/>
          <w:sz w:val="28"/>
          <w:szCs w:val="28"/>
        </w:rPr>
        <w:t>八、其它须说明材料。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02A32AE-373B-4A5C-9812-71584E8DC12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6E5CAA0C-0381-45D9-BDA6-4BC8F9819E08}"/>
  </w:font>
  <w:font w:name="MingLiU">
    <w:panose1 w:val="02020509000000000000"/>
    <w:charset w:val="88"/>
    <w:family w:val="modern"/>
    <w:pitch w:val="default"/>
    <w:sig w:usb0="A00002FF" w:usb1="28CFFCFA" w:usb2="00000016" w:usb3="00000000" w:csb0="00100001" w:csb1="00000000"/>
    <w:embedRegular r:id="rId3" w:fontKey="{E48F1EC3-B8D6-4695-9E55-AA1C194CFA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19</w:t>
    </w:r>
    <w:r>
      <w:rPr>
        <w:lang w:val="zh-CN"/>
      </w:rPr>
      <w:fldChar w:fldCharType="end"/>
    </w:r>
    <w:r>
      <w:rPr>
        <w:rFonts w:hint="eastAsia" w:cs="宋体"/>
      </w:rPr>
      <w:t>页，共</w:t>
    </w:r>
    <w:r>
      <w:rPr>
        <w:rFonts w:hint="eastAsia"/>
      </w:rPr>
      <w:t>1</w:t>
    </w:r>
    <w:r>
      <w:rPr>
        <w:rFonts w:hint="eastAsia"/>
        <w:lang w:val="en-US" w:eastAsia="zh-CN"/>
      </w:rPr>
      <w:t>6</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2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2ViNDlhNmNhZmIzOTQwYzA0ODdlZmQxZGM1ZjgifQ=="/>
  </w:docVars>
  <w:rsids>
    <w:rsidRoot w:val="00B2579D"/>
    <w:rsid w:val="0000387C"/>
    <w:rsid w:val="0000709E"/>
    <w:rsid w:val="0001193F"/>
    <w:rsid w:val="00031FE1"/>
    <w:rsid w:val="000461A9"/>
    <w:rsid w:val="00051257"/>
    <w:rsid w:val="000766DE"/>
    <w:rsid w:val="000825D7"/>
    <w:rsid w:val="00082F53"/>
    <w:rsid w:val="000835B3"/>
    <w:rsid w:val="0008411F"/>
    <w:rsid w:val="00084B4F"/>
    <w:rsid w:val="000856BE"/>
    <w:rsid w:val="00085BB1"/>
    <w:rsid w:val="000A42DA"/>
    <w:rsid w:val="000E16A1"/>
    <w:rsid w:val="000E1F77"/>
    <w:rsid w:val="000E202C"/>
    <w:rsid w:val="000E2ECD"/>
    <w:rsid w:val="000E52C5"/>
    <w:rsid w:val="000F264B"/>
    <w:rsid w:val="000F39AC"/>
    <w:rsid w:val="000F6CEE"/>
    <w:rsid w:val="0010001E"/>
    <w:rsid w:val="00122000"/>
    <w:rsid w:val="0013174D"/>
    <w:rsid w:val="001406ED"/>
    <w:rsid w:val="00144766"/>
    <w:rsid w:val="00146F84"/>
    <w:rsid w:val="00151716"/>
    <w:rsid w:val="00161E43"/>
    <w:rsid w:val="0016580F"/>
    <w:rsid w:val="001752BD"/>
    <w:rsid w:val="001805F5"/>
    <w:rsid w:val="00180ACA"/>
    <w:rsid w:val="0018324D"/>
    <w:rsid w:val="0019234A"/>
    <w:rsid w:val="00194389"/>
    <w:rsid w:val="001B74BF"/>
    <w:rsid w:val="001C56BC"/>
    <w:rsid w:val="001C6F03"/>
    <w:rsid w:val="001D2FE8"/>
    <w:rsid w:val="001D43B3"/>
    <w:rsid w:val="001E3685"/>
    <w:rsid w:val="001F1FF7"/>
    <w:rsid w:val="001F4C5F"/>
    <w:rsid w:val="00202EB2"/>
    <w:rsid w:val="00203815"/>
    <w:rsid w:val="0020584A"/>
    <w:rsid w:val="00214E8B"/>
    <w:rsid w:val="00231656"/>
    <w:rsid w:val="00240BBE"/>
    <w:rsid w:val="00244BBF"/>
    <w:rsid w:val="00264E9B"/>
    <w:rsid w:val="002902D3"/>
    <w:rsid w:val="002B0C62"/>
    <w:rsid w:val="002B390C"/>
    <w:rsid w:val="002B4847"/>
    <w:rsid w:val="002B4DA6"/>
    <w:rsid w:val="002B6D9B"/>
    <w:rsid w:val="002C4305"/>
    <w:rsid w:val="002C4EEC"/>
    <w:rsid w:val="002C554A"/>
    <w:rsid w:val="002C628A"/>
    <w:rsid w:val="002C6571"/>
    <w:rsid w:val="002E0E5A"/>
    <w:rsid w:val="002E6B48"/>
    <w:rsid w:val="002F57F2"/>
    <w:rsid w:val="00300291"/>
    <w:rsid w:val="00304548"/>
    <w:rsid w:val="003068B9"/>
    <w:rsid w:val="00306D9B"/>
    <w:rsid w:val="003101E7"/>
    <w:rsid w:val="00313F53"/>
    <w:rsid w:val="00317536"/>
    <w:rsid w:val="00321F49"/>
    <w:rsid w:val="0033168D"/>
    <w:rsid w:val="00333907"/>
    <w:rsid w:val="00336919"/>
    <w:rsid w:val="00350329"/>
    <w:rsid w:val="003643AD"/>
    <w:rsid w:val="0037074E"/>
    <w:rsid w:val="00375D16"/>
    <w:rsid w:val="003772A0"/>
    <w:rsid w:val="003968BB"/>
    <w:rsid w:val="003A287D"/>
    <w:rsid w:val="003A363E"/>
    <w:rsid w:val="003A44DF"/>
    <w:rsid w:val="003B2393"/>
    <w:rsid w:val="003B311F"/>
    <w:rsid w:val="003C1FA7"/>
    <w:rsid w:val="003E79BB"/>
    <w:rsid w:val="003F1E0B"/>
    <w:rsid w:val="003F535A"/>
    <w:rsid w:val="00407627"/>
    <w:rsid w:val="00411741"/>
    <w:rsid w:val="00431AF2"/>
    <w:rsid w:val="00431E06"/>
    <w:rsid w:val="00432D91"/>
    <w:rsid w:val="004354E9"/>
    <w:rsid w:val="00442C03"/>
    <w:rsid w:val="004524D4"/>
    <w:rsid w:val="00452B93"/>
    <w:rsid w:val="004603D6"/>
    <w:rsid w:val="00477FB1"/>
    <w:rsid w:val="004A3744"/>
    <w:rsid w:val="004C771E"/>
    <w:rsid w:val="004D3CB2"/>
    <w:rsid w:val="004F64CA"/>
    <w:rsid w:val="004F7251"/>
    <w:rsid w:val="004F7B00"/>
    <w:rsid w:val="005002B4"/>
    <w:rsid w:val="0050269C"/>
    <w:rsid w:val="005107EE"/>
    <w:rsid w:val="005115BF"/>
    <w:rsid w:val="00511E18"/>
    <w:rsid w:val="00514DE8"/>
    <w:rsid w:val="005203FE"/>
    <w:rsid w:val="005311DE"/>
    <w:rsid w:val="005404B6"/>
    <w:rsid w:val="00541069"/>
    <w:rsid w:val="0055230B"/>
    <w:rsid w:val="00557762"/>
    <w:rsid w:val="00567DE6"/>
    <w:rsid w:val="0058698D"/>
    <w:rsid w:val="00591C89"/>
    <w:rsid w:val="005A1A53"/>
    <w:rsid w:val="005A600A"/>
    <w:rsid w:val="005D1ED8"/>
    <w:rsid w:val="005E24A6"/>
    <w:rsid w:val="005E77B7"/>
    <w:rsid w:val="005F06E0"/>
    <w:rsid w:val="005F6FAE"/>
    <w:rsid w:val="00605FAD"/>
    <w:rsid w:val="0061033A"/>
    <w:rsid w:val="00614266"/>
    <w:rsid w:val="00616AE8"/>
    <w:rsid w:val="00623998"/>
    <w:rsid w:val="00631B92"/>
    <w:rsid w:val="0063448C"/>
    <w:rsid w:val="0064575E"/>
    <w:rsid w:val="006551FD"/>
    <w:rsid w:val="006600DB"/>
    <w:rsid w:val="00660656"/>
    <w:rsid w:val="00662823"/>
    <w:rsid w:val="00663B12"/>
    <w:rsid w:val="006643B9"/>
    <w:rsid w:val="00673FAD"/>
    <w:rsid w:val="006877CE"/>
    <w:rsid w:val="006A03AB"/>
    <w:rsid w:val="006B62DB"/>
    <w:rsid w:val="006C4A11"/>
    <w:rsid w:val="006D3941"/>
    <w:rsid w:val="006E122E"/>
    <w:rsid w:val="00707A70"/>
    <w:rsid w:val="00724FD5"/>
    <w:rsid w:val="00726136"/>
    <w:rsid w:val="00727C47"/>
    <w:rsid w:val="007368FF"/>
    <w:rsid w:val="00740DCE"/>
    <w:rsid w:val="00746489"/>
    <w:rsid w:val="0076467E"/>
    <w:rsid w:val="00765667"/>
    <w:rsid w:val="007817B7"/>
    <w:rsid w:val="00782A03"/>
    <w:rsid w:val="00785876"/>
    <w:rsid w:val="00796780"/>
    <w:rsid w:val="00797F55"/>
    <w:rsid w:val="007A2B20"/>
    <w:rsid w:val="007A2CE2"/>
    <w:rsid w:val="007A680D"/>
    <w:rsid w:val="007C387A"/>
    <w:rsid w:val="007C483D"/>
    <w:rsid w:val="007C76F9"/>
    <w:rsid w:val="007D21AA"/>
    <w:rsid w:val="007F7CD2"/>
    <w:rsid w:val="0080096B"/>
    <w:rsid w:val="00803321"/>
    <w:rsid w:val="00810C5C"/>
    <w:rsid w:val="008147AD"/>
    <w:rsid w:val="00837E43"/>
    <w:rsid w:val="00850F31"/>
    <w:rsid w:val="00860576"/>
    <w:rsid w:val="008706A2"/>
    <w:rsid w:val="00881C75"/>
    <w:rsid w:val="008846EB"/>
    <w:rsid w:val="00885890"/>
    <w:rsid w:val="00890665"/>
    <w:rsid w:val="008912CC"/>
    <w:rsid w:val="008A0C35"/>
    <w:rsid w:val="008A12E1"/>
    <w:rsid w:val="008A21DD"/>
    <w:rsid w:val="008B172F"/>
    <w:rsid w:val="008D16BC"/>
    <w:rsid w:val="008D1A39"/>
    <w:rsid w:val="008D2702"/>
    <w:rsid w:val="008E1560"/>
    <w:rsid w:val="008E5B94"/>
    <w:rsid w:val="008F2231"/>
    <w:rsid w:val="008F2CCE"/>
    <w:rsid w:val="009121CE"/>
    <w:rsid w:val="00927A2A"/>
    <w:rsid w:val="00930E37"/>
    <w:rsid w:val="00931606"/>
    <w:rsid w:val="009506B4"/>
    <w:rsid w:val="0098511C"/>
    <w:rsid w:val="009874B1"/>
    <w:rsid w:val="009B4E99"/>
    <w:rsid w:val="009B64FE"/>
    <w:rsid w:val="009D2341"/>
    <w:rsid w:val="009F4540"/>
    <w:rsid w:val="00A01010"/>
    <w:rsid w:val="00A06933"/>
    <w:rsid w:val="00A13574"/>
    <w:rsid w:val="00A147C4"/>
    <w:rsid w:val="00A20BDE"/>
    <w:rsid w:val="00A22D65"/>
    <w:rsid w:val="00A305F1"/>
    <w:rsid w:val="00A42B44"/>
    <w:rsid w:val="00A465D5"/>
    <w:rsid w:val="00A577C8"/>
    <w:rsid w:val="00A63AF8"/>
    <w:rsid w:val="00A73FC4"/>
    <w:rsid w:val="00A8070E"/>
    <w:rsid w:val="00A877FD"/>
    <w:rsid w:val="00A917D9"/>
    <w:rsid w:val="00A94187"/>
    <w:rsid w:val="00A97D36"/>
    <w:rsid w:val="00AA7419"/>
    <w:rsid w:val="00AD4D3D"/>
    <w:rsid w:val="00AD557A"/>
    <w:rsid w:val="00AE3F55"/>
    <w:rsid w:val="00B2182E"/>
    <w:rsid w:val="00B25798"/>
    <w:rsid w:val="00B2579D"/>
    <w:rsid w:val="00B27659"/>
    <w:rsid w:val="00B371C9"/>
    <w:rsid w:val="00B42FBC"/>
    <w:rsid w:val="00B73ED4"/>
    <w:rsid w:val="00B75A28"/>
    <w:rsid w:val="00B86D5C"/>
    <w:rsid w:val="00B916CC"/>
    <w:rsid w:val="00B944F6"/>
    <w:rsid w:val="00BA09C2"/>
    <w:rsid w:val="00BB1BBB"/>
    <w:rsid w:val="00BB3834"/>
    <w:rsid w:val="00BC53D2"/>
    <w:rsid w:val="00BD1AE3"/>
    <w:rsid w:val="00BE4A57"/>
    <w:rsid w:val="00BF0937"/>
    <w:rsid w:val="00C10C03"/>
    <w:rsid w:val="00C10EA8"/>
    <w:rsid w:val="00C11A56"/>
    <w:rsid w:val="00C1551C"/>
    <w:rsid w:val="00C1645F"/>
    <w:rsid w:val="00C226CB"/>
    <w:rsid w:val="00C30E74"/>
    <w:rsid w:val="00C34B1B"/>
    <w:rsid w:val="00C57F5C"/>
    <w:rsid w:val="00C81811"/>
    <w:rsid w:val="00C8265F"/>
    <w:rsid w:val="00C918B1"/>
    <w:rsid w:val="00C9524B"/>
    <w:rsid w:val="00CA5611"/>
    <w:rsid w:val="00CA7E2B"/>
    <w:rsid w:val="00CB52EB"/>
    <w:rsid w:val="00CC3A30"/>
    <w:rsid w:val="00CC41DE"/>
    <w:rsid w:val="00CC61D5"/>
    <w:rsid w:val="00CC7435"/>
    <w:rsid w:val="00CD33C1"/>
    <w:rsid w:val="00CD4F84"/>
    <w:rsid w:val="00CE4337"/>
    <w:rsid w:val="00CF2BE1"/>
    <w:rsid w:val="00D02D1A"/>
    <w:rsid w:val="00D07639"/>
    <w:rsid w:val="00D252EA"/>
    <w:rsid w:val="00D3043C"/>
    <w:rsid w:val="00D351BE"/>
    <w:rsid w:val="00D40BB0"/>
    <w:rsid w:val="00D430F5"/>
    <w:rsid w:val="00D65821"/>
    <w:rsid w:val="00D72C31"/>
    <w:rsid w:val="00D9185C"/>
    <w:rsid w:val="00DA0FAE"/>
    <w:rsid w:val="00DA61B0"/>
    <w:rsid w:val="00DB4CB8"/>
    <w:rsid w:val="00DD06DC"/>
    <w:rsid w:val="00DD3740"/>
    <w:rsid w:val="00DD4C1F"/>
    <w:rsid w:val="00DE4747"/>
    <w:rsid w:val="00DF0369"/>
    <w:rsid w:val="00DF4A8C"/>
    <w:rsid w:val="00E0099D"/>
    <w:rsid w:val="00E06ACF"/>
    <w:rsid w:val="00E10534"/>
    <w:rsid w:val="00E13E46"/>
    <w:rsid w:val="00E1554A"/>
    <w:rsid w:val="00E16120"/>
    <w:rsid w:val="00E174C0"/>
    <w:rsid w:val="00E20C16"/>
    <w:rsid w:val="00E369B2"/>
    <w:rsid w:val="00E503AF"/>
    <w:rsid w:val="00E53FC3"/>
    <w:rsid w:val="00E61071"/>
    <w:rsid w:val="00E61500"/>
    <w:rsid w:val="00E705D0"/>
    <w:rsid w:val="00E7645B"/>
    <w:rsid w:val="00E8012C"/>
    <w:rsid w:val="00E82B51"/>
    <w:rsid w:val="00E84B9D"/>
    <w:rsid w:val="00E92829"/>
    <w:rsid w:val="00E94C8F"/>
    <w:rsid w:val="00EA308D"/>
    <w:rsid w:val="00EA31D7"/>
    <w:rsid w:val="00EB3F25"/>
    <w:rsid w:val="00EB538D"/>
    <w:rsid w:val="00EB7133"/>
    <w:rsid w:val="00EC5F05"/>
    <w:rsid w:val="00EC6CA3"/>
    <w:rsid w:val="00ED0A65"/>
    <w:rsid w:val="00ED11EA"/>
    <w:rsid w:val="00EF7891"/>
    <w:rsid w:val="00F029BC"/>
    <w:rsid w:val="00F03074"/>
    <w:rsid w:val="00F054EE"/>
    <w:rsid w:val="00F07B16"/>
    <w:rsid w:val="00F24CA0"/>
    <w:rsid w:val="00F437AC"/>
    <w:rsid w:val="00F770E6"/>
    <w:rsid w:val="00F9279E"/>
    <w:rsid w:val="00F96F6E"/>
    <w:rsid w:val="00FA4D60"/>
    <w:rsid w:val="00FB47D2"/>
    <w:rsid w:val="00FB50C9"/>
    <w:rsid w:val="00FC001F"/>
    <w:rsid w:val="00FD313E"/>
    <w:rsid w:val="00FE0355"/>
    <w:rsid w:val="00FE4545"/>
    <w:rsid w:val="00FF02E4"/>
    <w:rsid w:val="00FF0575"/>
    <w:rsid w:val="00FF6A41"/>
    <w:rsid w:val="0160084E"/>
    <w:rsid w:val="01902D1C"/>
    <w:rsid w:val="01C85D8A"/>
    <w:rsid w:val="01D55A0F"/>
    <w:rsid w:val="01D65AC4"/>
    <w:rsid w:val="020F7B7E"/>
    <w:rsid w:val="023C63A0"/>
    <w:rsid w:val="02A26AC8"/>
    <w:rsid w:val="02A824AD"/>
    <w:rsid w:val="02AD1871"/>
    <w:rsid w:val="02F5745D"/>
    <w:rsid w:val="0372620B"/>
    <w:rsid w:val="04021749"/>
    <w:rsid w:val="041A1188"/>
    <w:rsid w:val="048E343E"/>
    <w:rsid w:val="04A76B32"/>
    <w:rsid w:val="053718C6"/>
    <w:rsid w:val="05C20583"/>
    <w:rsid w:val="06780FAB"/>
    <w:rsid w:val="06906C77"/>
    <w:rsid w:val="06BA5298"/>
    <w:rsid w:val="0721408E"/>
    <w:rsid w:val="07317410"/>
    <w:rsid w:val="0736405C"/>
    <w:rsid w:val="07516F96"/>
    <w:rsid w:val="07535957"/>
    <w:rsid w:val="080C0DE8"/>
    <w:rsid w:val="084602A2"/>
    <w:rsid w:val="08BF012C"/>
    <w:rsid w:val="097F55EA"/>
    <w:rsid w:val="098C7AFA"/>
    <w:rsid w:val="0A204A5D"/>
    <w:rsid w:val="0B313A17"/>
    <w:rsid w:val="0B972584"/>
    <w:rsid w:val="0BC0234F"/>
    <w:rsid w:val="0D112137"/>
    <w:rsid w:val="0DB51DAB"/>
    <w:rsid w:val="0DBA2892"/>
    <w:rsid w:val="0E057FE4"/>
    <w:rsid w:val="0EAA7385"/>
    <w:rsid w:val="0EBB3568"/>
    <w:rsid w:val="0EF965D3"/>
    <w:rsid w:val="0FE80928"/>
    <w:rsid w:val="10B057C5"/>
    <w:rsid w:val="11456666"/>
    <w:rsid w:val="11550AB7"/>
    <w:rsid w:val="115806FA"/>
    <w:rsid w:val="116F23E8"/>
    <w:rsid w:val="11A007F3"/>
    <w:rsid w:val="11F03E08"/>
    <w:rsid w:val="122E5DFF"/>
    <w:rsid w:val="124949E7"/>
    <w:rsid w:val="128917A0"/>
    <w:rsid w:val="130F5C30"/>
    <w:rsid w:val="13533D6F"/>
    <w:rsid w:val="13537E21"/>
    <w:rsid w:val="13616DDA"/>
    <w:rsid w:val="1370543F"/>
    <w:rsid w:val="13837E0F"/>
    <w:rsid w:val="14143F98"/>
    <w:rsid w:val="143860A5"/>
    <w:rsid w:val="14F859BF"/>
    <w:rsid w:val="159341B5"/>
    <w:rsid w:val="15A00DC2"/>
    <w:rsid w:val="15F51685"/>
    <w:rsid w:val="16055357"/>
    <w:rsid w:val="16201F02"/>
    <w:rsid w:val="16C805D0"/>
    <w:rsid w:val="16D72F09"/>
    <w:rsid w:val="16F811DF"/>
    <w:rsid w:val="16FB0935"/>
    <w:rsid w:val="17064087"/>
    <w:rsid w:val="17365EC8"/>
    <w:rsid w:val="174C3A8E"/>
    <w:rsid w:val="178405EA"/>
    <w:rsid w:val="17B648CC"/>
    <w:rsid w:val="17DD6392"/>
    <w:rsid w:val="184E0CEC"/>
    <w:rsid w:val="18736C61"/>
    <w:rsid w:val="188E75F7"/>
    <w:rsid w:val="18DE55B8"/>
    <w:rsid w:val="190F698A"/>
    <w:rsid w:val="19666E1A"/>
    <w:rsid w:val="1A230ABD"/>
    <w:rsid w:val="1BC550A1"/>
    <w:rsid w:val="1C2361BA"/>
    <w:rsid w:val="1C62271C"/>
    <w:rsid w:val="1C8E5C68"/>
    <w:rsid w:val="1CAB2701"/>
    <w:rsid w:val="1CFC037B"/>
    <w:rsid w:val="1D2351D3"/>
    <w:rsid w:val="1DE40BB0"/>
    <w:rsid w:val="1DE83057"/>
    <w:rsid w:val="1E1C18CC"/>
    <w:rsid w:val="1E63121F"/>
    <w:rsid w:val="1F1D69EF"/>
    <w:rsid w:val="20191F97"/>
    <w:rsid w:val="20286583"/>
    <w:rsid w:val="204750FD"/>
    <w:rsid w:val="209213D1"/>
    <w:rsid w:val="20B61DE1"/>
    <w:rsid w:val="21DD2803"/>
    <w:rsid w:val="21DE344B"/>
    <w:rsid w:val="22590868"/>
    <w:rsid w:val="22A7378F"/>
    <w:rsid w:val="22C57779"/>
    <w:rsid w:val="22D078AB"/>
    <w:rsid w:val="22D700DE"/>
    <w:rsid w:val="22F63AAE"/>
    <w:rsid w:val="24683E4B"/>
    <w:rsid w:val="24E8460C"/>
    <w:rsid w:val="255A47AD"/>
    <w:rsid w:val="263B1E7B"/>
    <w:rsid w:val="26C00BB3"/>
    <w:rsid w:val="27214DB6"/>
    <w:rsid w:val="27565784"/>
    <w:rsid w:val="277A1305"/>
    <w:rsid w:val="278A3680"/>
    <w:rsid w:val="278D3BAC"/>
    <w:rsid w:val="28A23518"/>
    <w:rsid w:val="28B0474F"/>
    <w:rsid w:val="28E87487"/>
    <w:rsid w:val="29521CEB"/>
    <w:rsid w:val="29745A9F"/>
    <w:rsid w:val="29C504FC"/>
    <w:rsid w:val="2A0C65CE"/>
    <w:rsid w:val="2A15789A"/>
    <w:rsid w:val="2AA131BA"/>
    <w:rsid w:val="2AB4611E"/>
    <w:rsid w:val="2B0E006B"/>
    <w:rsid w:val="2B201FFC"/>
    <w:rsid w:val="2CEF1A8F"/>
    <w:rsid w:val="2D053ED4"/>
    <w:rsid w:val="2D0F6551"/>
    <w:rsid w:val="2D1B54A6"/>
    <w:rsid w:val="2DDB4C35"/>
    <w:rsid w:val="2E082C92"/>
    <w:rsid w:val="2E7B6798"/>
    <w:rsid w:val="2EEE547C"/>
    <w:rsid w:val="2F5B44D5"/>
    <w:rsid w:val="2F7B1290"/>
    <w:rsid w:val="2F997048"/>
    <w:rsid w:val="31117F14"/>
    <w:rsid w:val="31AF3F03"/>
    <w:rsid w:val="31EA5447"/>
    <w:rsid w:val="3284631A"/>
    <w:rsid w:val="32D11349"/>
    <w:rsid w:val="32D305D1"/>
    <w:rsid w:val="32EA3D1C"/>
    <w:rsid w:val="33181C13"/>
    <w:rsid w:val="336D071C"/>
    <w:rsid w:val="342F3A72"/>
    <w:rsid w:val="34710344"/>
    <w:rsid w:val="35305338"/>
    <w:rsid w:val="357A2F85"/>
    <w:rsid w:val="358856A2"/>
    <w:rsid w:val="35D02D98"/>
    <w:rsid w:val="35DC02B1"/>
    <w:rsid w:val="360949B7"/>
    <w:rsid w:val="364A6DFC"/>
    <w:rsid w:val="36C645B7"/>
    <w:rsid w:val="37283C9F"/>
    <w:rsid w:val="377A733E"/>
    <w:rsid w:val="37814F08"/>
    <w:rsid w:val="37B45B95"/>
    <w:rsid w:val="380D6333"/>
    <w:rsid w:val="3969127A"/>
    <w:rsid w:val="39C73159"/>
    <w:rsid w:val="39F01A68"/>
    <w:rsid w:val="3A6266D5"/>
    <w:rsid w:val="3AA23DC1"/>
    <w:rsid w:val="3AA60BA5"/>
    <w:rsid w:val="3AC17EF5"/>
    <w:rsid w:val="3AD0360B"/>
    <w:rsid w:val="3BF17459"/>
    <w:rsid w:val="3CD70CBD"/>
    <w:rsid w:val="3D0C1ED0"/>
    <w:rsid w:val="3D895D82"/>
    <w:rsid w:val="3DAB2EE2"/>
    <w:rsid w:val="3DB73753"/>
    <w:rsid w:val="3E2E4312"/>
    <w:rsid w:val="3EBF114C"/>
    <w:rsid w:val="3FD16F41"/>
    <w:rsid w:val="3FE56D10"/>
    <w:rsid w:val="403C57B3"/>
    <w:rsid w:val="40743897"/>
    <w:rsid w:val="41251DF1"/>
    <w:rsid w:val="41B11ADD"/>
    <w:rsid w:val="41D35EF7"/>
    <w:rsid w:val="423B584A"/>
    <w:rsid w:val="42BA3617"/>
    <w:rsid w:val="42D124ED"/>
    <w:rsid w:val="430F11B1"/>
    <w:rsid w:val="43413CD0"/>
    <w:rsid w:val="43823336"/>
    <w:rsid w:val="439711A6"/>
    <w:rsid w:val="43C37F59"/>
    <w:rsid w:val="43D75451"/>
    <w:rsid w:val="43F81C45"/>
    <w:rsid w:val="4498417F"/>
    <w:rsid w:val="44D3620E"/>
    <w:rsid w:val="44DE52DF"/>
    <w:rsid w:val="45CC5F92"/>
    <w:rsid w:val="462D2AFF"/>
    <w:rsid w:val="464473C4"/>
    <w:rsid w:val="46B67B95"/>
    <w:rsid w:val="46ED5A14"/>
    <w:rsid w:val="470C53AE"/>
    <w:rsid w:val="4763003C"/>
    <w:rsid w:val="47685E05"/>
    <w:rsid w:val="47EE4D13"/>
    <w:rsid w:val="48E842FF"/>
    <w:rsid w:val="49156DF5"/>
    <w:rsid w:val="491A0545"/>
    <w:rsid w:val="494F6E36"/>
    <w:rsid w:val="49A47B1A"/>
    <w:rsid w:val="49AD5E6D"/>
    <w:rsid w:val="4A510301"/>
    <w:rsid w:val="4AAA63A9"/>
    <w:rsid w:val="4AAD1530"/>
    <w:rsid w:val="4ACB711A"/>
    <w:rsid w:val="4AF229B2"/>
    <w:rsid w:val="4B106837"/>
    <w:rsid w:val="4B1A06F3"/>
    <w:rsid w:val="4B2D570C"/>
    <w:rsid w:val="4B942912"/>
    <w:rsid w:val="4C113CC0"/>
    <w:rsid w:val="4C3F04A5"/>
    <w:rsid w:val="4C96395A"/>
    <w:rsid w:val="4CF12C3C"/>
    <w:rsid w:val="4D07739D"/>
    <w:rsid w:val="4D99745C"/>
    <w:rsid w:val="4DCD139D"/>
    <w:rsid w:val="4DF62510"/>
    <w:rsid w:val="4E143B1F"/>
    <w:rsid w:val="4E282719"/>
    <w:rsid w:val="50091D6E"/>
    <w:rsid w:val="505A5A36"/>
    <w:rsid w:val="50A46A8A"/>
    <w:rsid w:val="50D53896"/>
    <w:rsid w:val="50EC1DD2"/>
    <w:rsid w:val="510F580A"/>
    <w:rsid w:val="51255F55"/>
    <w:rsid w:val="51644FBE"/>
    <w:rsid w:val="52026774"/>
    <w:rsid w:val="52475395"/>
    <w:rsid w:val="528F7C18"/>
    <w:rsid w:val="52AD4661"/>
    <w:rsid w:val="52E61B8D"/>
    <w:rsid w:val="538452A3"/>
    <w:rsid w:val="53870B97"/>
    <w:rsid w:val="5389269B"/>
    <w:rsid w:val="53A00C4A"/>
    <w:rsid w:val="53D26DB2"/>
    <w:rsid w:val="53EE7631"/>
    <w:rsid w:val="5419397D"/>
    <w:rsid w:val="54202A29"/>
    <w:rsid w:val="543F5C01"/>
    <w:rsid w:val="54853CAF"/>
    <w:rsid w:val="54D9568B"/>
    <w:rsid w:val="54EA5CAC"/>
    <w:rsid w:val="54EC161F"/>
    <w:rsid w:val="55D50038"/>
    <w:rsid w:val="562F3BF3"/>
    <w:rsid w:val="56D5019B"/>
    <w:rsid w:val="56E542AB"/>
    <w:rsid w:val="56ED3DC1"/>
    <w:rsid w:val="570C1B68"/>
    <w:rsid w:val="57660723"/>
    <w:rsid w:val="57D80EF9"/>
    <w:rsid w:val="57F731DF"/>
    <w:rsid w:val="58907B35"/>
    <w:rsid w:val="59253C51"/>
    <w:rsid w:val="5ADD1038"/>
    <w:rsid w:val="5CA800D2"/>
    <w:rsid w:val="5D001B3A"/>
    <w:rsid w:val="5D2418A5"/>
    <w:rsid w:val="5D3D3753"/>
    <w:rsid w:val="5D434890"/>
    <w:rsid w:val="5D836FD8"/>
    <w:rsid w:val="5E0943D3"/>
    <w:rsid w:val="5E2C6C63"/>
    <w:rsid w:val="5E351360"/>
    <w:rsid w:val="5F192375"/>
    <w:rsid w:val="5F3833E6"/>
    <w:rsid w:val="5F7E1B3E"/>
    <w:rsid w:val="5FF936D5"/>
    <w:rsid w:val="60422D79"/>
    <w:rsid w:val="60A800F7"/>
    <w:rsid w:val="60AA5E68"/>
    <w:rsid w:val="61303617"/>
    <w:rsid w:val="61332B14"/>
    <w:rsid w:val="61381005"/>
    <w:rsid w:val="61857110"/>
    <w:rsid w:val="625B6730"/>
    <w:rsid w:val="62742987"/>
    <w:rsid w:val="62A41BB4"/>
    <w:rsid w:val="62E717D1"/>
    <w:rsid w:val="6317701F"/>
    <w:rsid w:val="63B034A2"/>
    <w:rsid w:val="63D7745D"/>
    <w:rsid w:val="63E15DFA"/>
    <w:rsid w:val="64686F03"/>
    <w:rsid w:val="65164BED"/>
    <w:rsid w:val="65E975B8"/>
    <w:rsid w:val="661F1431"/>
    <w:rsid w:val="667062F3"/>
    <w:rsid w:val="66782814"/>
    <w:rsid w:val="667C1E0A"/>
    <w:rsid w:val="6714606F"/>
    <w:rsid w:val="679D092C"/>
    <w:rsid w:val="67F53CE1"/>
    <w:rsid w:val="68287D17"/>
    <w:rsid w:val="68FB1141"/>
    <w:rsid w:val="69191D1A"/>
    <w:rsid w:val="691C78D4"/>
    <w:rsid w:val="697D3521"/>
    <w:rsid w:val="69D92DC0"/>
    <w:rsid w:val="6A106C14"/>
    <w:rsid w:val="6A7C2118"/>
    <w:rsid w:val="6AA41FB4"/>
    <w:rsid w:val="6AF71B23"/>
    <w:rsid w:val="6B62453E"/>
    <w:rsid w:val="6B9F3035"/>
    <w:rsid w:val="6C3F0240"/>
    <w:rsid w:val="6C5277C6"/>
    <w:rsid w:val="6CB542C8"/>
    <w:rsid w:val="6D551065"/>
    <w:rsid w:val="6E071855"/>
    <w:rsid w:val="6FBA17E0"/>
    <w:rsid w:val="6FDC2BA1"/>
    <w:rsid w:val="70986C64"/>
    <w:rsid w:val="70D0428E"/>
    <w:rsid w:val="70E70ADA"/>
    <w:rsid w:val="7137124E"/>
    <w:rsid w:val="71C61DB6"/>
    <w:rsid w:val="71CD1741"/>
    <w:rsid w:val="735257BF"/>
    <w:rsid w:val="73634A7D"/>
    <w:rsid w:val="737F18E2"/>
    <w:rsid w:val="739369E5"/>
    <w:rsid w:val="73AE46BE"/>
    <w:rsid w:val="740B1FF0"/>
    <w:rsid w:val="745D75EB"/>
    <w:rsid w:val="747E1443"/>
    <w:rsid w:val="74D80B53"/>
    <w:rsid w:val="75110DA7"/>
    <w:rsid w:val="75555FAC"/>
    <w:rsid w:val="758B7B2E"/>
    <w:rsid w:val="75CA2B92"/>
    <w:rsid w:val="76655B13"/>
    <w:rsid w:val="77C06F53"/>
    <w:rsid w:val="77C16C09"/>
    <w:rsid w:val="78EA2879"/>
    <w:rsid w:val="791B54B2"/>
    <w:rsid w:val="79915775"/>
    <w:rsid w:val="79A05249"/>
    <w:rsid w:val="7B010C26"/>
    <w:rsid w:val="7B89570D"/>
    <w:rsid w:val="7BBA0721"/>
    <w:rsid w:val="7C0D4D3D"/>
    <w:rsid w:val="7CE42605"/>
    <w:rsid w:val="7D1C60D1"/>
    <w:rsid w:val="7D562123"/>
    <w:rsid w:val="7E14213C"/>
    <w:rsid w:val="7E2D63B4"/>
    <w:rsid w:val="7E9A2089"/>
    <w:rsid w:val="7EC841AF"/>
    <w:rsid w:val="7F17496E"/>
    <w:rsid w:val="7FA04963"/>
    <w:rsid w:val="7FBC77B9"/>
    <w:rsid w:val="7FC86FB4"/>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4"/>
    <w:qFormat/>
    <w:uiPriority w:val="99"/>
    <w:pPr>
      <w:keepNext/>
      <w:keepLines/>
      <w:spacing w:before="260" w:after="260" w:line="413" w:lineRule="auto"/>
      <w:outlineLvl w:val="2"/>
    </w:pPr>
    <w:rPr>
      <w:b/>
      <w:bCs/>
      <w:sz w:val="32"/>
      <w:szCs w:val="32"/>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next w:val="1"/>
    <w:qFormat/>
    <w:uiPriority w:val="0"/>
    <w:pPr>
      <w:widowControl w:val="0"/>
      <w:spacing w:line="360" w:lineRule="auto"/>
      <w:ind w:firstLine="420"/>
      <w:jc w:val="both"/>
    </w:pPr>
    <w:rPr>
      <w:rFonts w:ascii="宋体" w:hAnsi="宋体" w:eastAsia="宋体" w:cs="Times New Roman"/>
      <w:kern w:val="2"/>
      <w:sz w:val="24"/>
      <w:szCs w:val="21"/>
      <w:lang w:val="en-US" w:eastAsia="zh-CN" w:bidi="ar-SA"/>
    </w:rPr>
  </w:style>
  <w:style w:type="paragraph" w:styleId="6">
    <w:name w:val="annotation text"/>
    <w:basedOn w:val="1"/>
    <w:unhideWhenUsed/>
    <w:qFormat/>
    <w:uiPriority w:val="0"/>
    <w:pPr>
      <w:jc w:val="left"/>
    </w:pPr>
  </w:style>
  <w:style w:type="paragraph" w:styleId="7">
    <w:name w:val="Body Text"/>
    <w:basedOn w:val="1"/>
    <w:link w:val="29"/>
    <w:qFormat/>
    <w:uiPriority w:val="99"/>
    <w:rPr>
      <w:rFonts w:ascii="宋体" w:hAnsi="宋体" w:cs="宋体"/>
      <w:sz w:val="28"/>
      <w:szCs w:val="28"/>
    </w:rPr>
  </w:style>
  <w:style w:type="paragraph" w:styleId="8">
    <w:name w:val="Body Text Indent"/>
    <w:basedOn w:val="1"/>
    <w:link w:val="32"/>
    <w:qFormat/>
    <w:uiPriority w:val="99"/>
    <w:pPr>
      <w:spacing w:after="120"/>
      <w:ind w:left="420" w:leftChars="200"/>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table" w:styleId="17">
    <w:name w:val="Table Grid"/>
    <w:basedOn w:val="16"/>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3"/>
    <w:qFormat/>
    <w:uiPriority w:val="99"/>
    <w:rPr>
      <w:rFonts w:ascii="Cambria" w:hAnsi="Cambria" w:eastAsia="宋体" w:cs="Cambria"/>
      <w:b/>
      <w:bCs/>
      <w:sz w:val="32"/>
      <w:szCs w:val="32"/>
    </w:rPr>
  </w:style>
  <w:style w:type="character" w:customStyle="1" w:styleId="24">
    <w:name w:val="标题 3 Char"/>
    <w:basedOn w:val="18"/>
    <w:link w:val="4"/>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7"/>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8"/>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6">
    <w:name w:val="标题 4 Char"/>
    <w:basedOn w:val="18"/>
    <w:link w:val="5"/>
    <w:semiHidden/>
    <w:qFormat/>
    <w:uiPriority w:val="9"/>
    <w:rPr>
      <w:rFonts w:asciiTheme="majorHAnsi" w:hAnsiTheme="majorHAnsi" w:eastAsiaTheme="majorEastAsia" w:cstheme="majorBidi"/>
      <w:b/>
      <w:bCs/>
      <w:kern w:val="2"/>
      <w:sz w:val="28"/>
      <w:szCs w:val="28"/>
    </w:rPr>
  </w:style>
  <w:style w:type="paragraph" w:customStyle="1" w:styleId="37">
    <w:name w:val="正文--2字符首行缩进"/>
    <w:basedOn w:val="1"/>
    <w:qFormat/>
    <w:uiPriority w:val="0"/>
    <w:pPr>
      <w:widowControl/>
      <w:snapToGrid w:val="0"/>
      <w:spacing w:after="200" w:line="360" w:lineRule="auto"/>
      <w:ind w:firstLine="560" w:firstLineChars="200"/>
      <w:jc w:val="left"/>
    </w:pPr>
    <w:rPr>
      <w:rFonts w:ascii="仿宋_GB2312" w:hAnsi="宋体" w:eastAsia="仿宋_GB2312" w:cs="宋体"/>
      <w:kern w:val="0"/>
      <w:sz w:val="28"/>
      <w:szCs w:val="28"/>
      <w:lang w:eastAsia="en-US"/>
    </w:rPr>
  </w:style>
  <w:style w:type="paragraph" w:customStyle="1" w:styleId="38">
    <w:name w:val="NOTE_Normal"/>
    <w:basedOn w:val="1"/>
    <w:qFormat/>
    <w:uiPriority w:val="0"/>
    <w:pPr>
      <w:spacing w:after="160" w:line="256" w:lineRule="auto"/>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443F4-EA97-4F7D-AA84-A74E439CDB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5835</Words>
  <Characters>6186</Characters>
  <Lines>81</Lines>
  <Paragraphs>22</Paragraphs>
  <TotalTime>0</TotalTime>
  <ScaleCrop>false</ScaleCrop>
  <LinksUpToDate>false</LinksUpToDate>
  <CharactersWithSpaces>7040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2023-04-13T00:55:00Z</dcterms:created>
  <dc:creator>admin</dc:creator>
  <cp:lastModifiedBy>寻</cp:lastModifiedBy>
  <cp:lastPrinted>2024-04-10T08:39:00Z</cp:lastPrinted>
  <dcterms:modified xsi:type="dcterms:W3CDTF">2024-06-11T00:07:38Z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D34E574455374D7C88E9F246767BFC9C</vt:lpwstr>
  </property>
  <property fmtid="{D5CDD505-2E9C-101B-9397-08002B2CF9AE}" pid="3" name="KSOProductBuildVer">
    <vt:lpwstr>2052-11.8.2.12195</vt:lpwstr>
  </property>
</Properties>
</file>